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巴中市信用评级报告(区域部分)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巴中作为四川省下辖地级市，经济总量列四川省第19位，人均GDP约3.53万元、人均经济实力在省内相对靠后，经济增速维持在6.00%左右、总体平稳；固定资产投资最新增速6.70%，经济运行总体平稳。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巴中市2023、2024、2025年地区生产总值分别为811.81亿元、870.51亿元、916.64亿元，同比增长6.00%、6.30%、6.00%。截至2025年末，全市常住人口257.80万人，人均GDP约3.53万元。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产业结构方面，2025年巴中市三次产业结构为21.6:19.1:59.3，第三产业占主导、服务业是经济主体，农业基础较好。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2023、2024、2025年固定资产投资增速分别为55.80%、8.04%、6.70%，2025年社会消费品零售总额543.03亿元，进出口总额0.77亿美元。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巴中市2025年GDP总量916.64亿元、列全省第19位，一般公共预算收入75.41亿元、列全省第18位。整体来看，巴中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巴中市财政体量在四川省处于中游，税收占比36.29%、税收占比处于一般水平，但政府性基金收入较2023年累计增长11%；2025年末宽口径债务率728.93%、处于偏高水平，已显著高于公认的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巴中市一般公共预算收入分别为56.07亿元、65.41亿元、75.41亿元，其中税收收入23.79亿元、25.63亿元、27.36亿元，税收占比维持在42.44%、39.19%、36.29%；一般公共预算支出339.78亿元、404.41亿元、375.05亿元，财政自给率16.50%、16.17%、20.11%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政府性基金收入方面，2023、2024、2025年分别为112.00亿元、111.22亿元、123.94亿元，政府性基金收入较2023年累计增长11%，反映地方综合财力对房地产周期的敞口。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图表：2023-2025年巴中市财政收入情况(单位:亿元、%)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404.41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375.05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-7.26%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资料来源:巴中市财政决算、企业预警通,风控信评部整理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土地市场方面，【待补充:巴中市土地出让与房地产销售数据（土地市场数据库未覆盖该市）】。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巴中市地方政府债务余额分别为800.40亿元、951.30亿元、1,096.50亿元，2025年末债务限额1,156.80亿元，债务余额控制在限额以内；城投有息债务2025年末估算余额414.16亿元。债务率指标看，2025年末政府债务率529.09%、城投债务率199.84%、宽口径债务率728.93%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巴中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