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广元市信用评级报告(区域部分)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广元作为四川省下辖地级市，经济总量列四川省第16位，人均经济实力居省内中游，经济增速维持在6.40%左右、总体平稳；固定资产投资最新增速2.20%，经济运行总体平稳。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广元市2023、2024、2025年地区生产总值分别为1,205.07亿元、1,280.98亿元、1,348.78亿元，同比增长6.20%、6.50%、6.40%。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产业结构方面，2025年广元市三次产业结构为16.3:32.3:51.4，第三产业占主导、服务业是经济主体，农业基础较好。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2023、2024、2025年固定资产投资增速分别为23.60%、2.70%、2.20%，2025年社会消费品零售总额548.40亿元，进出口总额4.02亿美元。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广元市2025年GDP总量1,348.78亿元、列全省第16位，一般公共预算收入77.50亿元、列全省第17位。整体来看，广元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广元市财政体量在四川省处于中游，税收占比46.54%、税收占比处于一般水平，但政府性基金收入较2023年累计下降28%、土地财政贡献度弱化；2025年末宽口径债务率245.15%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广元市一般公共预算收入分别为68.12亿元、73.32亿元、77.50亿元，其中税收收入34.67亿元、35.60亿元、36.07亿元，税收占比维持在50.90%、48.55%、46.54%；一般公共预算支出337.33亿元、358.24亿元、353.83亿元，财政自给率20.19%、20.47%、21.90%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政府性基金收入方面，2023、2024、2025年分别为78.41亿元、73.39亿元、56.50亿元，政府性基金收入较2023年累计下降28%、土地财政贡献度弱化，反映地方综合财力对房地产周期的敞口。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图表：2023-2025年广元市财政收入情况(单位:亿元、%)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337.33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358.24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-1.23%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-23.01%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资料来源:广元市财政决算、企业预警通,风控信评部整理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土地市场方面，【待补充:广元市土地出让与房地产销售数据（土地市场数据库未覆盖该市）】。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广元市地方政府债务余额分别为552.03亿元、659.40亿元、775.40亿元，2025年末债务限额810.80亿元，债务余额控制在限额以内；城投有息债务2025年末估算余额386.60亿元。债务率指标看，2025年末政府债务率163.59%、城投债务率81.56%、宽口径债务率245.15%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广元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