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广安市信用评级报告(区域部分)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广安作为四川省下辖地级市，经济总量列四川省第14位，人均经济实力居省内中游，经济增速由6.60%回落至5.70%、有所放缓；固定资产投资连续负增长（最新-6.00%），经济动能仍有待修复。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广安市2023、2024、2025年地区生产总值分别为1,525.24亿元、1,600.40亿元、1,700.87亿元，同比增长6.60%、6.40%、5.70%。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产业结构方面，2025年广安市三次产业结构为13.7:28.2:58.1，第三产业占主导、服务业是经济主体。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2023、2024、2025年固定资产投资增速分别为39.20%、-17.90%、-6.00%，2025年社会消费品零售总额767.60亿元，进出口总额4.32亿美元。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广安市2025年GDP总量1,700.87亿元、列全省第14位，一般公共预算收入109.01亿元、列全省第11位。整体来看，广安市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广安市财政体量在四川省处于中游，税收占比33.81%、税收占比处于一般水平，但政府性基金收入较2023年累计下降26%、土地财政贡献度弱化；2025年末宽口径债务率657.10%、处于偏高水平，已显著高于公认的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广安市一般公共预算收入分别为105.67亿元、108.86亿元、109.01亿元，其中税收收入47.70亿元、42.88亿元、36.86亿元，税收占比维持在45.14%、39.39%、33.81%；一般公共预算支出347.26亿元、380.05亿元、388.79亿元，财政自给率30.43%、28.64%、28.04%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政府性基金收入方面，2023、2024、2025年分别为131.29亿元、116.97亿元、97.40亿元，政府性基金收入较2023年累计下降26%、土地财政贡献度弱化，反映地方综合财力对房地产周期的敞口。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图表：2023-2025年广安市财政收入情况(单位:亿元、%)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-14.04%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388.79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116.97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-16.73%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资料来源:广安市财政决算、企业预警通,风控信评部整理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土地市场方面，【待补充:广安市土地出让与房地产销售数据（土地市场数据库未覆盖该市）】。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广安市地方政府债务余额分别为678.10亿元、812.20亿元、968.03亿元，2025年末债务限额1,000.70亿元，债务余额控制在限额以内；城投有息债务2025年末估算余额394.72亿元。债务率指标看，2025年末政府债务率466.77%、城投债务率190.33%、宽口径债务率657.10%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广安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