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德阳市信用评级报告(区域部分)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德阳作为四川省下辖地级市，经济总量列四川省第四位，人均GDP约9.90万元、人均经济实力居全省前列，经济增速由6.70%回落至5.40%、有所放缓；固定资产投资最新增速5.10%，经济运行总体平稳。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德阳市2023、2024、2025年地区生产总值分别为3,070.87亿元、3,256.10亿元、3,387.10亿元，同比增长6.70%、7.20%、5.40%。截至2025年末，全市常住人口342.00万人，人均GDP约9.90万元（按当年GDP与常住人口估算）。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产业结构方面，2025年德阳市三次产业结构为8.2:49.5:42.3，第二产业占比较高、工业是经济支柱。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2023、2024、2025年固定资产投资增速分别为13.20%、8.50%、5.10%，2025年社会消费品零售总额1,195.30亿元，进出口总额28.10亿美元。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德阳市2025年GDP总量3,387.10亿元、列全省第四位，一般公共预算收入210.32亿元、列全省第六位。整体来看，德阳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德阳市财政体量在四川省处于中游，税收占比52.67%、税收占比处于一般水平，但政府性基金收入较2023年累计下降13%、土地财政贡献度弱化；2025年末宽口径债务率313.78%、处于偏高水平，已显著高于公认的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德阳市一般公共预算收入分别为183.60亿元、200.49亿元、210.32亿元，其中税收收入109.46亿元、109.28亿元、110.77亿元，税收占比维持在59.62%、54.50%、52.67%；一般公共预算支出391.53亿元、427.08亿元、437.29亿元，财政自给率46.89%、46.95%、48.10%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政府性基金收入方面，2023、2024、2025年分别为215.45亿元、193.38亿元、186.57亿元，政府性基金收入较2023年累计下降13%、土地财政贡献度弱化，反映地方综合财力对房地产周期的敞口。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图表：2023-2025年德阳市财政收入情况(单位:亿元、%)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-3.52%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资料来源:德阳市财政决算、企业预警通,风控信评部整理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土地市场方面，【待补充:德阳市土地出让与房地产销售数据（土地市场数据库未覆盖该市）】。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德阳市地方政府债务余额分别为760.90亿元、931.40亿元、1,123.70亿元，2025年末债务限额1,169.30亿元，债务余额控制在限额以内；城投有息债务2025年末估算余额1,010.60亿元。债务率指标看，2025年末政府债务率165.21%、城投债务率148.58%、宽口径债务率313.78%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德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