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成都市信用评级报告(区域部分)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成都作为四川省省会，经济总量在四川省稳居第一，人均GDP约11.52万元、人均经济实力居全省前列，经济增速维持在5.80%左右、总体平稳；固定资产投资最新增速2.20%，经济运行总体平稳。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成都市2023、2024、2025年地区生产总值分别为22,336.60亿元、23,519.50亿元、24,763.60亿元，同比增长6.10%、5.70%、5.80%。截至2025年末，全市常住人口2153.50万人，人均GDP约11.52万元。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产业结构方面，2025年成都市三次产业结构为2.2:27.9:69.9，以电子信息、装备制造、医药健康和数字经济为支柱，聚集京东方、英特尔成都、华为成都等企业，是西部商贸科技中心。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2023、2024、2025年固定资产投资增速分别为-19.40%、7.30%、2.20%，2025年社会消费品零售总额11,434.10亿元，进出口总额1,190.31亿美元。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成都市2025年GDP总量24,763.60亿元、列全省第一位，一般公共预算收入2,000.71亿元、列全省第一位。整体来看，成都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成都市财政体量在四川省稳居第一，税收占比70.42%、税收质量较好，但政府性基金收入较2023年累计下降32%、土地财政贡献度弱化；2025年末宽口径债务率924.46%、处于偏高水平，已显著高于公认的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成都市一般公共预算收入分别为1,929.06亿元、1,949.50亿元、2,000.71亿元，其中税收收入1,449.38亿元、1,373.64亿元、1,408.87亿元，税收占比维持在75.13%、70.46%、70.42%；一般公共预算支出2,586.83亿元、2,610.39亿元、2,680.05亿元，财政自给率74.57%、74.68%、74.65%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政府性基金收入方面，2023、2024、2025年分别为1,886.85亿元、1,239.07亿元、1,280.45亿元，政府性基金收入较2023年累计下降32%、土地财政贡献度弱化，反映地方综合财力对房地产周期的敞口。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图表：2023-2025年成都市财政收入情况(单位:亿元、%)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1,929.06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1,949.50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1,449.38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1,373.64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2,586.83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1,886.85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1,239.07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-34.33%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资料来源:成都市财政决算、企业预警通,风控信评部整理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成都市经营性用地成交价分别为1,799.45亿元、1,628.39亿元、1,353.66亿元、809.38亿元、969.23亿元，2025年较2021年下降46.14%；同期平均溢价率为4.42%、2.64%、7.37%、6.85%、9.99%；成交楼面均价由3,290元/㎡降至2,316元/㎡、累计下降29.60%。2026年1-4月，成都市经营性用地累计成交77宗、规划建面696.33万㎡、成交价119.57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图表:2021-2025年成都市土地出让情况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5,466.08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3,290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1,799.45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6,829.30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1,628.39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6,591.55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1,353.66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3,381.18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2,391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809.38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4,175.33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969.23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696.33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119.57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成都市商品住宅成交面积由2,513.57万㎡变动至1,181.17万㎡、累计下降53.0%；新房均价2025年为18,850元/㎡、较2023年高点(19,159元/㎡)累计下跌1.61%；2025年去化周期24.02个月。据中指冰山指数(最低挂牌价口径)，成都二手房挂牌价较2018年7月高点累计下跌23.25%，2023年累计跌幅-5.52%、2024年累计跌幅-7.43%、2025年累计跌幅-6.37%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成都市地方政府债务余额分别为5,228.70亿元、6,206.60亿元、7,223.90亿元，2025年末债务限额7,814.90亿元，债务余额控制在限额以内；城投有息债务2025年末估算余额35,654.18亿元。债务率指标看，2025年末政府债务率155.75%、城投债务率768.71%、宽口径债务率924.46%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成都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