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攀枝花市信用评级报告(区域部分)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攀枝花作为四川省下辖地级市，经济总量列四川省第15位，人均GDP约11.50万元、人均经济实力居全省前列，经济增速由6.50%回落至3.20%、有所放缓；固定资产投资最新增速4.70%，经济运行总体平稳。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攀枝花市2023、2024、2025年地区生产总值分别为1,324.12亿元、1,375.14亿元、1,409.57亿元，同比增长6.50%、6.20%、3.20%。截至2025年末，全市常住人口122.20万人，人均GDP约11.50万元。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产业结构方面，2025年攀枝花市三次产业结构为7.3:54.8:37.9，第二产业占比较高、工业是经济支柱。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2023、2024、2025年固定资产投资增速分别为11.30%、5.60%、4.70%，2025年社会消费品零售总额388.82亿元，进出口总额4.16亿美元。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攀枝花市2025年GDP总量1,409.57亿元、列全省第15位，一般公共预算收入105.18亿元、列全省第13位。整体来看，攀枝花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攀枝花市财政体量在四川省处于中游，税收占比52.84%、税收占比处于一般水平，但政府性基金收入较2023年累计下降29%、土地财政贡献度弱化；2025年末宽口径债务率580.69%、处于偏高水平，已显著高于公认的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攀枝花市一般公共预算收入分别为101.23亿元、102.58亿元、105.18亿元，其中税收收入54.87亿元、56.29亿元、55.58亿元，税收占比维持在54.20%、54.87%、52.84%；一般公共预算支出175.81亿元、191.92亿元、196.52亿元，财政自给率57.58%、53.45%、53.52%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政府性基金收入方面，2023、2024、2025年分别为24.52亿元、21.21亿元、17.39亿元，政府性基金收入较2023年累计下降29%、土地财政贡献度弱化，反映地方综合财力对房地产周期的敞口。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图表：2023-2025年攀枝花市财政收入情况(单位:亿元、%)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-18.01%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资料来源:攀枝花市财政决算、企业预警通,风控信评部整理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土地市场方面，【待补充:攀枝花市土地出让与房地产销售数据（土地市场数据库未覆盖该市）】。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攀枝花市地方政府债务余额分别为260.20亿元、336.40亿元、415.80亿元，2025年末债务限额455.70亿元，债务余额控制在限额以内；城投有息债务2025年末估算余额303.24亿元。债务率指标看，2025年末政府债务率335.80%、城投债务率244.89%、宽口径债务率580.69%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攀枝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