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泸州市信用评级报告(区域部分)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泸州作为四川省下辖地级市，经济总量列四川省第五位，人均GDP约7.08万元、人均经济实力居全省中游，经济增速由5.60%回升至6.40%、动能边际改善；固定资产投资最新增速4.30%，经济运行总体平稳。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泸州市2023、2024、2025年地区生产总值分别为2,737.87亿元、2,831.47亿元、3,004.29亿元，同比增长5.60%、3.90%、6.40%。截至2025年末，全市常住人口421.20万人，人均GDP约7.08万元。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产业结构方面，2025年泸州市三次产业结构为8.9:46.6:44.5，第二产业占比较高、工业是经济支柱。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2023、2024、2025年固定资产投资增速分别为19.80%、-17.50%、4.30%，2025年社会消费品零售总额1,633.50亿元，进出口总额20.94亿美元。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泸州市2025年GDP总量3,004.29亿元、列全省第五位，一般公共预算收入233.47亿元、列全省第三位。整体来看，泸州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泸州市财政体量在四川省位居前列，税收占比54.78%、税收占比处于一般水平，但政府性基金收入总体平稳；2025年末宽口径债务率341.88%、处于偏高水平，已显著高于公认的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泸州市一般公共预算收入分别为212.38亿元、222.17亿元、233.47亿元，其中税收收入127.17亿元、125.14亿元、127.91亿元，税收占比维持在59.88%、56.33%、54.78%；一般公共预算支出472.75亿元、500.47亿元、523.77亿元，财政自给率44.92%、44.39%、44.58%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政府性基金收入方面，2023、2024、2025年分别为157.75亿元、179.38亿元、143.66亿元，政府性基金收入总体平稳，反映地方综合财力对房地产周期的敞口。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图表：2023-2025年泸州市财政收入情况(单位:亿元、%)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212.38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472.75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179.38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-19.91%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资料来源:泸州市财政决算、企业预警通,风控信评部整理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土地市场方面，【待补充:泸州市土地出让与房地产销售数据（土地市场数据库未覆盖该市）】。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泸州市地方政府债务余额分别为994.20亿元、1,171.30亿元、1,343.10亿元，2025年末债务限额1,403.10亿元，债务余额控制在限额以内；城投有息债务2025年末估算余额1,262.78亿元。债务率指标看，2025年末政府债务率176.21%、城投债务率165.67%、宽口径债务率341.88%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泸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