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甘孜藏族自治州信用评级报告(区域部分)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甘孜藏族自治州作为四川省下辖的民族自治地区，经济总量列四川省第20位，人均GDP约5.50万元、人均经济实力在省内相对靠后，经济增速由6.20%回落至5.50%、有所放缓；固定资产投资最新增速2.90%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甘孜藏族自治州2023、2024、2025年地区生产总值分别为542.78亿元、585.53亿元、613.11亿元，同比增长6.20%、5.50%、5.50%。截至2025年末，全市常住人口111.90万人，人均GDP约5.50万元。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产业结构方面，2025年甘孜藏族自治州三次产业结构为15.06:30.27:54.67，第三产业占主导、服务业是经济主体，农业基础较好。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2023、2024、2025年固定资产投资增速分别为12.90%、15.30%、2.90%，2025年社会消费品零售总额153.13亿元，进出口总额0.19亿美元。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甘孜藏族自治州2025年GDP总量613.11亿元、列全省第20位，一般公共预算收入71.86亿元、列全省第20位。整体来看，甘孜藏族自治州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甘孜藏族自治州财政体量在四川省处于中游，税收占比59.39%、税收占比处于一般水平，但政府性基金收入总体平稳；2025年末宽口径债务率33.03%、处于可控水平，整体处于可控水平。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甘孜藏族自治州一般公共预算收入分别为54.69亿元、60.53亿元、71.86亿元，其中税收收入34.25亿元、40.22亿元、42.68亿元，税收占比维持在62.63%、66.45%、59.39%；一般公共预算支出444.19亿元、454.49亿元、489.62亿元，财政自给率12.31%、13.32%、14.68%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政府性基金收入方面，2023、2024、2025年分别为9.41亿元、6.72亿元、8.63亿元，政府性基金收入总体平稳，反映地方综合财力对房地产周期的敞口。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图表：2023-2025年甘孜藏族自治州财政收入情况(单位:亿元、%)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489.62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28.42%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资料来源:甘孜藏族自治州财政决算、企业预警通,风控信评部整理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土地市场方面，【待补充:甘孜藏族自治州土地出让与房地产销售数据（土地市场数据库未覆盖该市）】。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甘孜藏族自治州地方政府债务余额分别为143.00亿元、157.40亿元、186.80亿元，2025年末债务限额194.10亿元，债务余额控制在限额以内；城投有息债务2025年末估算余额—亿元。债务率指标看，2025年末政府债务率33.03%、城投债务率—、宽口径债务率33.03%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甘孜藏族自治州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