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黔西南布依族苗族自治州信用评级报告(区域部分)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黔西南布依族苗族自治州经济总量列贵州省第七位，人均GDP约—万元、人均经济实力居省内中游，经济增速由3.06%回升至5.10%、动能边际改善；固定资产投资连续负增长（最新-7.85%），经济动能仍有待修复。【待补充：黔西南布依族苗族自治州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黔西南布依族苗族自治州2023、2024、2025年地区生产总值分别为1,421.11亿元、1,474.71亿元、1,535.28亿元，同比增长3.06%、4.20%、5.10%。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产业结构方面，2025年黔西南布依族苗族自治州三次产业结构为19:27.3:53.7。【待补充：支柱产业、主要龙头企业、对外贸易等定性描述（数据库未覆盖）】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2023、2024、2025年固定资产投资增速分别为-3.80%、8.50%、-7.85%，进出口总额0.78亿美元。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图表：2025年贵州省各地级市主要经济指标对比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6,038.15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3.6:29.5:66.8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490.76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666.89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遵义市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5,206.12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11.1:39.4:49.5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646.69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毕节市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2,541.14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22.6:25.8:51.5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660.83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黔南布依族苗族自治州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2,008.49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15.4:29.6:55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133.29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348.97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六盘水市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1,777.75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10.8:41.3:47.9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117.43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303.47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1,722.66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20.5:23.3:56.2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黔西南布依族苗族自治州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1,535.28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19:27.3:53.7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黔东南苗族侗族自治州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1,500.24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19.3:21.6:59.1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372.12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安顺市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1,232.35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17.1:27.2:55.7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247.53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黔西南布依族苗族自治州2025年GDP总量1,535.28亿元、列全省第七位，一般公共预算收入97.22亿元、列全省第六位。整体来看，黔西南布依族苗族自治州经济基本面在贵州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黔西南布依族苗族自治州财政体量在贵州省处于中游，税收占比54.19%、税收占比处于一般水平，但政府性基金收入较2023年累计增长39%；2025年末宽口径债务率547.50%、处于偏高水平，已显著高于公认的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黔西南布依族苗族自治州一般公共预算收入分别为91.78亿元、95.27亿元、97.22亿元，其中税收收入48.94亿元、48.59亿元、52.68亿元，税收占比维持在53.32%、51.00%、54.19%；一般公共预算支出396.03亿元、416.98亿元、419.56亿元，财政自给率23.18%、22.85%、23.17%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政府性基金收入方面，2023、2024、2025年分别为148.33亿元、169.28亿元、205.74亿元，政府性基金收入较2023年累计增长39%，反映地方综合财力对房地产周期的敞口。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图表：2023-2025年黔西南布依族苗族自治州财政收入情况(单位:亿元、%)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-19.31%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-0.72%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8.42%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54.19%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396.03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416.98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419.56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0.62%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23.18%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22.85%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148.33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169.28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21.54%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资料来源:黔西南布依族苗族自治州财政决算、企业预警通,风控信评部整理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土地市场方面，【待补充:黔西南布依族苗族自治州土地出让与房地产销售数据（土地市场数据库未覆盖该市）】。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黔西南布依族苗族自治州地方政府债务余额分别为893.48亿元、1,118.00亿元、1,215.50亿元，2025年末债务限额1,223.65亿元，债务余额控制在限额以内；城投有息债务2025年末估算余额448.54亿元。债务率指标看，2025年末政府债务率399.92%、城投债务率147.58%、宽口径债务率547.50%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黔西南布依族苗族自治州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