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丹东市信用评级报告(区域部分)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丹东经济总量列辽宁省第八位，人均GDP约—万元、人均经济实力居省内中游，经济增速由6.05%回落至3.70%、有所放缓；固定资产投资最新增速转负（-27.20%），经济动能仍有待修复。【待补充：丹东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丹东市2023、2024、2025年地区生产总值分别为977.76亿元、1,006.10亿元、1,019.20亿元，同比增长6.05%、5.00%、3.70%。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产业结构方面，2025年丹东市三次产业结构为19.6:25.4:55。【待补充：支柱产业、主要龙头企业、对外贸易等定性描述（数据库未覆盖）】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2023、2024、2025年固定资产投资增速分别为12.90%、2.20%、-27.20%，2025年社会消费品零售总额281.30亿元，进出口总额29.13亿美元。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图表：2025年辽宁省各地级市主要经济指标对比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10,002.10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5.1:35.5:59.4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749.40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沈阳市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9,100.30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4.1:32.8:63.1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794.23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927.60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鞍山市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2,180.40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5.8:31.1:63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175.44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营口市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1,570.20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8.2:31.4:60.4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146.02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盘锦市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7.8:46.9:45.3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锦州市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1,365.30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16.6:26.5:56.9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朝阳市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1,156.70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21.3:27.7:51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丹东市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1,019.20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19.6:25.4:55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葫芦岛市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1,013.70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本溪市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1,006.02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5.9:37.2:56.9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抚顺市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6.4:36.9:56.7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辽阳市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1,001.20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10:42:48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铁岭市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788.90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阜新市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9.2:61.7:29.1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丹东市2025年GDP总量1,019.20亿元、列全省第八位，一般公共预算收入84.50亿元、列全省第十位。整体来看，丹东市经济基本面在辽宁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丹东市财政体量在辽宁省处于中游，税收占比54.99%、税收占比处于一般水平，但政府性基金收入较2023年累计下降32%、土地财政贡献度弱化；2025年末宽口径债务率507.81%、处于偏高水平，已显著高于公认的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丹东市一般公共预算收入分别为74.67亿元、80.35亿元、84.50亿元，其中税收收入45.18亿元、43.95亿元、46.47亿元，税收占比维持在60.50%、54.70%、54.99%；一般公共预算支出239.51亿元、237.06亿元、235.58亿元，财政自给率31.18%、33.89%、35.87%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政府性基金收入方面，2023、2024、2025年分别为16.67亿元、9.41亿元、11.27亿元，政府性基金收入较2023年累计下降32%、土地财政贡献度弱化，反映地方综合财力对房地产周期的敞口。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图表：2023-2025年丹东市财政收入情况(单位:亿元、%)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7.61%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-2.72%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54.99%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239.51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237.06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-1.02%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235.58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-0.62%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31.18%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33.89%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35.87%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-43.55%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19.77%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资料来源:丹东市财政决算、企业预警通,风控信评部整理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土地市场方面，【待补充:丹东市土地出让与房地产销售数据（土地市场数据库未覆盖该市）】。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丹东市地方政府债务余额分别为399.35亿元、423.20亿元、451.80亿元，2025年末债务限额459.60亿元，债务余额控制在限额以内；城投有息债务2025年末估算余额64.49亿元。债务率指标看，2025年末政府债务率444.38%、城投债务率63.43%、宽口径债务率507.81%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丹东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