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大连市信用评级报告(区域部分)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连经济总量在辽宁省稳居第一，人均GDP约—万元、人均经济实力居省内中游，经济增速维持在5.70%左右、总体平稳；固定资产投资最新增速转负（-17.00%），经济动能仍有待修复。【待补充：大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大连市2023、2024、2025年地区生产总值分别为9,113.40亿元、9,540.20亿元、10,002.10亿元，同比增长5.95%、5.20%、5.70%。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产业结构方面，2025年大连市三次产业结构为5.1:35.5:59.4。【待补充：支柱产业、主要龙头企业、对外贸易等定性描述（数据库未覆盖）】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2023、2024、2025年固定资产投资增速分别为0.63%、2.00%、-17.00%，2025年社会消费品零售总额2,180.80亿元，进出口总额628.96亿美元。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大连市2025年GDP总量10,002.10亿元、列全省第一位，一般公共预算收入749.40亿元、列全省第二位。整体来看，大连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大连市财政体量在辽宁省位居前列，税收占比67.49%、税收质量较好，但政府性基金收入较2023年累计增长32%；2025年末宽口径债务率517.08%、处于偏高水平，已显著高于公认的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大连市一般公共预算收入分别为750.24亿元、774.77亿元、749.40亿元，其中税收收入492.74亿元、489.26亿元、505.80亿元，税收占比维持在65.68%、63.15%、67.49%；一般公共预算支出1,013.50亿元、1,085.14亿元、1,122.20亿元，财政自给率74.02%、71.40%、66.78%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政府性基金收入方面，2023、2024、2025年分别为144.68亿元、140.80亿元、191.20亿元，政府性基金收入较2023年累计增长32%，反映地方综合财力对房地产周期的敞口。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图表：2023-2025年大连市财政收入情况(单位:亿元、%)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489.26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1,122.20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35.80%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资料来源:大连市财政决算、企业预警通,风控信评部整理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土地市场方面，【待补充:大连市土地出让与房地产销售数据（土地市场数据库未覆盖该市）】。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大连市地方政府债务余额分别为2,897.63亿元、3,173.85亿元、3,561.23亿元，2025年末债务限额3,716.92亿元，债务余额控制在限额以内；城投有息债务2025年末估算余额1,308.14亿元。债务率指标看，2025年末政府债务率378.17%、城投债务率138.91%、宽口径债务率517.08%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大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