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朝阳市信用评级报告(区域部分)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朝阳经济总量列辽宁省第七位，人均GDP约—万元、人均经济实力居省内中游，经济增速由5.25%回落至4.50%、有所放缓；固定资产投资最新增速转负（-24.60%），经济动能仍有待修复。【待补充：朝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朝阳市2023、2024、2025年地区生产总值分别为1,043.69亿元、1,129.00亿元、1,156.70亿元，同比增长5.25%、5.80%、4.50%。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产业结构方面，2025年朝阳市三次产业结构为21.3:27.7:51。【待补充：支柱产业、主要龙头企业、对外贸易等定性描述（数据库未覆盖）】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2023、2024、2025年固定资产投资增速分别为7.80%、8.80%、-24.60%，2025年社会消费品零售总额345.30亿元，进出口总额10.37亿美元。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朝阳市2025年GDP总量1,156.70亿元、列全省第七位，一般公共预算收入90.31亿元、列全省第九位。整体来看，朝阳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朝阳市财政体量在辽宁省处于中游，税收占比63.26%、税收质量较好，但政府性基金收入较2023年累计下降41%、土地财政贡献度弱化；2025年末宽口径债务率424.67%、处于偏高水平，已显著高于公认的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朝阳市一般公共预算收入分别为82.67亿元、87.68亿元、90.31亿元，其中税收收入54.67亿元、57.65亿元、57.13亿元，税收占比维持在66.13%、65.74%、63.26%；一般公共预算支出318.31亿元、314.95亿元、301.34亿元，财政自给率25.97%、27.84%、29.97%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政府性基金收入方面，2023、2024、2025年分别为22.72亿元、12.56亿元、13.48亿元，政府性基金收入较2023年累计下降41%、土地财政贡献度弱化，反映地方综合财力对房地产周期的敞口。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图表：2023-2025年朝阳市财政收入情况(单位:亿元、%)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-44.72%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资料来源:朝阳市财政决算、企业预警通,风控信评部整理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土地市场方面，【待补充:朝阳市土地出让与房地产销售数据（土地市场数据库未覆盖该市）】。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朝阳市地方政府债务余额分别为340.69亿元、377.89亿元、425.04亿元，2025年末债务限额430.75亿元，债务余额控制在限额以内；城投有息债务2025年末估算余额22.63亿元。债务率指标看，2025年末政府债务率403.20%、城投债务率21.47%、宽口径债务率424.67%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朝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