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8"/>
        </w:rPr>
        <w:t>本溪市信用评级报告(区域部分)</w:t>
      </w:r>
    </w:p>
    <w:p>
      <w:pPr>
        <w:spacing w:before="200" w:after="10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一、区域经济分析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本溪经济总量列辽宁省第十位，人均GDP约8.26万元、人均经济实力在省内相对靠后，经济增速由5.75%回落至3.80%、有所放缓；固定资产投资最新增速转负（-29.40%），经济动能仍有待修复。【待补充：本溪市的行政与战略定位、支柱产业及龙头企业（数据库未覆盖，需人工补充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本溪市2023、2024、2025年地区生产总值分别为975.80亿元、1,003.20亿元、1,006.02亿元，同比增长5.75%、5.50%、3.80%。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产业结构方面，2025年本溪市三次产业结构为5.9:37.2:56.9。【待补充：支柱产业、主要龙头企业、对外贸易等定性描述（数据库未覆盖）】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2023、2024、2025年固定资产投资增速分别为8.30%、10.00%、-29.40%，2025年社会消费品零售总额169.30亿元，进出口总额25.23亿美元。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图表：2025年辽宁省各地级市主要经济指标对比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地级市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人均GDP(万元)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GDP增速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三次产业结构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一般预算(亿元)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常住人口(万人)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大连市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10,002.10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5.1:35.5:59.4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749.40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沈阳市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9,100.30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9.83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4.1:32.8:63.1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794.23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927.60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鞍山市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2,180.40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5.8:31.1:63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175.44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营口市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1,570.20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8.2:31.4:60.4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盘锦市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1,417.60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7.8:46.9:45.3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150.09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锦州市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1,365.30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4.60%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16.6:26.5:56.9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126.60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朝阳市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1,156.70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21.3:27.7:51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90.31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丹东市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1,019.20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3.70%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19.6:25.4:55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84.50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葫芦岛市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1,013.70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3.50%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本溪市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1,006.02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8.26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3.80%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5.9:37.2:56.9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抚顺市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1,003.80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2.00%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6.4:36.9:56.7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77.20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辽阳市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1,001.20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10:42:48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91.11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铁岭市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788.90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2.80%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 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60.54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阜新市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651.80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2.10%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9.2:61.7:29.1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53.68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资料来源：各市统计公报、企业预警通，风控信评部整理。注：部分城市人均GDP系按当年GDP与常住人口估算。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省内对比看，本溪市2025年GDP总量1,006.02亿元、列全省第十位，一般公共预算收入100.14亿元、列全省第七位。整体来看，本溪市经济基本面在辽宁省内具有一定代表性，但需关注固定资产投资走势及新旧动能转换的接续性。</w:t>
      </w:r>
    </w:p>
    <w:p>
      <w:pPr>
        <w:spacing w:before="120" w:after="60" w:line="360" w:lineRule="auto"/>
        <w:ind w:firstLine="0"/>
      </w:pPr>
      <w:r>
        <w:rPr>
          <w:rFonts w:ascii="Times New Roman" w:hAnsi="Times New Roman" w:eastAsia="楷体"/>
          <w:b/>
          <w:color w:val="000000"/>
          <w:sz w:val="21"/>
        </w:rPr>
        <w:t>■ 本溪市财政体量在辽宁省处于中游，税收占比60.68%、税收质量较好，但政府性基金收入较2023年累计下降72%、土地财政贡献度弱化；2025年末宽口径债务率589.32%、处于偏高水平，已显著高于公认的 300% 偏高临界线，后续偿债压力值得关注。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财政收入方面，2023、2024、2025年本溪市一般公共预算收入分别为80.07亿元、91.48亿元、100.14亿元，其中税收收入54.15亿元、59.78亿元、60.77亿元，税收占比维持在67.63%、65.34%、60.68%；一般公共预算支出172.13亿元、193.27亿元、180.20亿元，财政自给率46.52%、47.33%、55.57%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政府性基金收入方面，2023、2024、2025年分别为15.48亿元、8.15亿元、4.36亿元，政府性基金收入较2023年累计下降72%、土地财政贡献度弱化，反映地方综合财力对房地产周期的敞口。</w:t>
      </w:r>
    </w:p>
    <w:p>
      <w:pPr>
        <w:spacing w:before="80" w:after="40" w:line="360" w:lineRule="auto"/>
        <w:ind w:firstLine="0"/>
        <w:jc w:val="center"/>
      </w:pPr>
      <w:r>
        <w:rPr>
          <w:rFonts w:ascii="Times New Roman" w:hAnsi="Times New Roman" w:eastAsia="楷体"/>
          <w:b/>
          <w:color w:val="000000"/>
          <w:sz w:val="21"/>
        </w:rPr>
        <w:t>图表：2023-2025年本溪市财政收入情况(单位:亿元、%)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项目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2023年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2024年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2025年</w:t>
            </w:r>
          </w:p>
        </w:tc>
        <w:tc>
          <w:tcPr>
            <w:tcW w:type="dxa" w:w="1344"/>
            <w:vAlign w:val="center"/>
            <w:shd w:val="clear" w:color="auto" w:fill="F1A983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/>
                <w:color w:val="000000"/>
                <w:sz w:val="18"/>
              </w:rPr>
              <w:t>增速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80.07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8.30%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91.48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14.25%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100.14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9.47%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 xml:space="preserve">　其中:税收收入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54.15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59.78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10.40%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60.77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1.66%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税收占比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67.63%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65.34%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60.68%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一般公共预算支出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172.13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193.27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12.28%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180.20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-6.76%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财政自给率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46.52%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47.33%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55.57%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</w:tr>
      <w:tr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left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政府性基金收入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15.48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—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8.15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-47.35%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4.36</w:t>
            </w:r>
          </w:p>
        </w:tc>
        <w:tc>
          <w:tcPr>
            <w:tcW w:type="dxa" w:w="1344"/>
            <w:vAlign w:val="center"/>
            <w:tcBorders>
              <w:top w:val="single" w:sz="4" w:color="A6A6A6"/>
              <w:left w:val="single" w:sz="4" w:color="A6A6A6"/>
              <w:bottom w:val="single" w:sz="4" w:color="A6A6A6"/>
              <w:right w:val="single" w:sz="4" w:color="A6A6A6"/>
            </w:tcBorders>
          </w:tcPr>
          <w:p>
            <w:pPr>
              <w:spacing w:before="0" w:after="0" w:line="276" w:lineRule="auto"/>
              <w:ind w:firstLine="0"/>
              <w:jc w:val="center"/>
            </w:pPr>
            <w:r/>
            <w:r>
              <w:rPr>
                <w:rFonts w:ascii="Times New Roman" w:hAnsi="Times New Roman" w:eastAsia="楷体"/>
                <w:b w:val="0"/>
                <w:color w:val="000000"/>
                <w:sz w:val="18"/>
              </w:rPr>
              <w:t>-46.50%</w:t>
            </w:r>
          </w:p>
        </w:tc>
      </w:tr>
    </w:tbl>
    <w:p>
      <w:pPr>
        <w:spacing w:before="0" w:after="80" w:line="360" w:lineRule="auto"/>
        <w:ind w:firstLine="0"/>
      </w:pPr>
      <w:r>
        <w:rPr>
          <w:rFonts w:ascii="Times New Roman" w:hAnsi="Times New Roman" w:eastAsia="楷体"/>
          <w:b w:val="0"/>
          <w:color w:val="000000"/>
          <w:sz w:val="19"/>
        </w:rPr>
        <w:t>资料来源:本溪市财政决算、企业预警通,风控信评部整理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土地市场方面，【待补充:本溪市土地出让与房地产销售数据（土地市场数据库未覆盖该市）】。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政府债务方面，2023、2024、2025年末本溪市地方政府债务余额分别为391.56亿元、421.94亿元、449.94亿元，2025年末债务限额458.83亿元，债务余额控制在限额以内；城投有息债务2025年末估算余额182.43亿元。债务率指标看，2025年末政府债务率419.31%、城投债务率170.01%、宽口径债务率589.32%。</w:t>
      </w:r>
    </w:p>
    <w:p>
      <w:pPr>
        <w:spacing w:before="0" w:after="60" w:line="360" w:lineRule="auto"/>
        <w:ind w:firstLine="420"/>
      </w:pPr>
      <w:r>
        <w:rPr>
          <w:rFonts w:ascii="Times New Roman" w:hAnsi="Times New Roman" w:eastAsia="楷体"/>
          <w:b w:val="0"/>
          <w:color w:val="000000"/>
          <w:sz w:val="21"/>
        </w:rPr>
        <w:t>综合来看，本溪市财政基本盘总体稳健，但土地财政收缩与债务规模扩张是当前主要压力线；我们预计宽口径债务率短期内将维持偏高水平，需重点关注后续化债进展、土地市场企稳情况以及融资平台合规整改对城投再融资能力的影响。</w:t>
      </w:r>
    </w:p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楷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