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沈阳市信用评级报告(区域部分)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沈阳经济总量列辽宁省第二位，人均GDP约9.83万元、人均经济实力居全省中游，经济增速由6.20%回落至2.00%、有所放缓；固定资产投资最新增速转负（-24.90%），经济动能仍有待修复。【待补充：沈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沈阳市2023、2024、2025年地区生产总值分别为8,624.74亿元、9,032.50亿元、9,100.30亿元，同比增长6.20%、5.20%、2.00%。截至2025年末，全市常住人口927.60万人，人均GDP约9.83万元。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产业结构方面，2025年沈阳市三次产业结构为4.1:32.8:63.1。【待补充：支柱产业、主要龙头企业、对外贸易等定性描述（数据库未覆盖）】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2023、2024、2025年固定资产投资增速分别为1.51%、4.00%、-24.90%，2025年社会消费品零售总额4,195.40亿元，进出口总额189.18亿美元。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沈阳市2025年GDP总量9,100.30亿元、列全省第二位，一般公共预算收入794.23亿元、列全省第一位。整体来看，沈阳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沈阳市财政体量在辽宁省稳居第一，税收占比64.24%、税收质量较好，但政府性基金收入总体平稳；2025年末宽口径债务率222.87%、处于中等偏高水平，处于相对偏高区间，需关注债务扩张节奏。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沈阳市一般公共预算收入分别为800.85亿元、825.58亿元、794.23亿元，其中税收收入608.84亿元、547.54亿元、510.22亿元，税收占比维持在76.02%、66.32%、64.24%；一般公共预算支出1,084.06亿元、1,163.21亿元、1,031.93亿元，财政自给率73.88%、70.97%、76.97%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政府性基金收入方面，2023、2024、2025年分别为104.02亿元、171.64亿元、103.64亿元，政府性基金收入总体平稳，反映地方综合财力对房地产周期的敞口。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图表：2023-2025年沈阳市财政收入情况(单位:亿元、%)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1,084.06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-39.62%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资料来源:沈阳市财政决算、企业预警通,风控信评部整理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土地市场方面，【待补充:沈阳市土地出让与房地产销售数据（土地市场数据库未覆盖该市）】。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沈阳市地方政府债务余额分别为2,275.25亿元、2,401.91亿元、2,684.81亿元，2025年末债务限额2,702.71亿元，债务余额控制在限额以内；城投有息债务2025年末估算余额1,331.67亿元。债务率指标看，2025年末政府债务率148.98%、城投债务率73.89%、宽口径债务率222.87%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沈阳市财政基本盘较为扎实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