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营口市信用评级报告(区域部分)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营口经济总量列辽宁省第四位，人均GDP约—万元、人均经济实力居省内中游，经济增速由5.25%回落至4.50%、有所放缓；固定资产投资最新增速转负（-27.90%），经济动能仍有待修复。【待补充：营口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营口市2023、2024、2025年地区生产总值分别为1,529.40亿元、1,560.29亿元、1,570.20亿元，同比增长5.25%、5.10%、4.50%。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产业结构方面，2025年营口市三次产业结构为8.2:31.4:60.4。【待补充：支柱产业、主要龙头企业、对外贸易等定性描述（数据库未覆盖）】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2023、2024、2025年固定资产投资增速分别为7.51%、7.30%、-27.90%，2025年社会消费品零售总额445.30亿元，进出口总额56.22亿美元。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营口市2025年GDP总量1,570.20亿元、列全省第四位，一般公共预算收入146.02亿元、列全省第五位。整体来看，营口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营口市财政体量在辽宁省处于中游，税收占比59.19%、税收占比处于一般水平，但政府性基金收入较2023年累计下降24%、土地财政贡献度弱化；2025年末宽口径债务率889.11%、处于偏高水平，已显著高于公认的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营口市一般公共预算收入分别为137.09亿元、140.56亿元、146.02亿元，其中税收收入97.42亿元、91.60亿元、86.43亿元，税收占比维持在71.06%、65.17%、59.19%；一般公共预算支出251.13亿元、250.44亿元、253.59亿元，财政自给率54.59%、56.12%、57.58%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政府性基金收入方面，2023、2024、2025年分别为26.77亿元、12.72亿元、20.31亿元，政府性基金收入较2023年累计下降24%、土地财政贡献度弱化，反映地方综合财力对房地产周期的敞口。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图表：2023-2025年营口市财政收入情况(单位:亿元、%)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251.13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250.44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-52.48%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资料来源:营口市财政决算、企业预警通,风控信评部整理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土地市场方面，【待补充:营口市土地出让与房地产销售数据（土地市场数据库未覆盖该市）】。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营口市地方政府债务余额分别为1,202.09亿元、1,352.03亿元、1,434.44亿元，2025年末债务限额1,459.21亿元，债务余额控制在限额以内；城投有息债务2025年末估算余额90.10亿元。债务率指标看，2025年末政府债务率836.57%、城投债务率52.54%、宽口径债务率889.11%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营口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