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辽阳市信用评级报告(区域部分)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辽阳经济总量列辽宁省第12位，人均GDP约—万元、人均经济实力居省内中游，经济增速由1.55%回升至4.10%、动能边际改善；固定资产投资最新增速转负（-23.70%），经济动能仍有待修复。【待补充：辽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辽阳市2023、2024、2025年地区生产总值分别为916.70亿元、966.20亿元、1,001.20亿元，同比增长1.55%、5.10%、4.10%。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产业结构方面，2025年辽阳市三次产业结构为10:42:48。【待补充：支柱产业、主要龙头企业、对外贸易等定性描述（数据库未覆盖）】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2023、2024、2025年固定资产投资增速分别为0.78%、0.00%、-23.70%，2025年社会消费品零售总额293.10亿元，进出口总额4.61亿美元。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辽阳市2025年GDP总量1,001.20亿元、列全省第12位，一般公共预算收入91.11亿元、列全省第八位。整体来看，辽阳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辽阳市财政体量在辽宁省处于中游，税收占比74.08%、税收质量较好，但政府性基金收入较2023年累计下降63%、土地财政贡献度弱化；2025年末宽口径债务率581.14%、处于偏高水平，已显著高于公认的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辽阳市一般公共预算收入分别为79.82亿元、86.33亿元、91.11亿元，其中税收收入56.26亿元、59.80亿元、67.50亿元，税收占比维持在70.48%、69.26%、74.08%；一般公共预算支出212.80亿元、204.24亿元、168.31亿元，财政自给率37.51%、42.27%、54.13%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政府性基金收入方面，2023、2024、2025年分别为12.00亿元、12.51亿元、4.44亿元，政府性基金收入较2023年累计下降63%、土地财政贡献度弱化，反映地方综合财力对房地产周期的敞口。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图表：2023-2025年辽阳市财政收入情况(单位:亿元、%)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204.24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-17.59%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-64.51%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资料来源:辽阳市财政决算、企业预警通,风控信评部整理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土地市场方面，【待补充:辽阳市土地出让与房地产销售数据（土地市场数据库未覆盖该市）】。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辽阳市地方政府债务余额分别为428.60亿元、477.54亿元、527.49亿元，2025年末债务限额534.81亿元，债务余额控制在限额以内；城投有息债务2025年末估算余额74.48亿元。债务率指标看，2025年末政府债务率509.23%、城投债务率71.91%、宽口径债务率581.14%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辽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