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铁岭市信用评级报告(区域部分)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铁岭经济总量列辽宁省第13位，人均GDP约—万元、人均经济实力居省内中游，经济增速由5.35%回落至2.80%、有所放缓；固定资产投资连续负增长（最新-11.80%），经济动能仍有待修复。【待补充：铁岭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铁岭市2023、2024、2025年地区生产总值分别为777.70亿元、782.80亿元、788.90亿元，同比增长5.35%、3.80%、2.80%。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产业结构方面，2025年铁岭市三次产业结构为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2023、2024、2025年固定资产投资增速分别为6.33%、-4.20%、-11.80%，2025年社会消费品零售总额185.50亿元。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图表：2025年辽宁省各地级市主要经济指标对比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10,002.10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5.1:35.5:59.4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沈阳市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9,100.30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4.1:32.8:63.1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5.8:31.1:63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营口市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1,570.20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8.2:31.4:60.4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盘锦市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7.8:46.9:45.3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1,365.30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16.6:26.5:56.9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朝阳市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21.3:27.7:51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丹东市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19.6:25.4:55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葫芦岛市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本溪市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5.9:37.2:56.9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6.4:36.9:56.7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10:42:48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铁岭市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9.2:61.7:29.1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铁岭市2025年GDP总量788.90亿元、列全省第13位，一般公共预算收入60.54亿元、列全省第13位。整体来看，铁岭市经济基本面在辽宁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铁岭市财政体量在辽宁省处于中游，税收占比63.75%、税收质量较好，但政府性基金收入较2023年累计下降27%、土地财政贡献度弱化；2025年末宽口径债务率1051.16%、处于偏高水平，已显著高于公认的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铁岭市一般公共预算收入分别为51.61亿元、57.57亿元、60.54亿元，其中税收收入36.40亿元、39.37亿元、38.59亿元，税收占比维持在70.53%、68.38%、63.75%；一般公共预算支出238.03亿元、243.57亿元、235.70亿元，财政自给率21.68%、23.64%、25.69%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政府性基金收入方面，2023、2024、2025年分别为5.18亿元、5.28亿元、3.80亿元，政府性基金收入较2023年累计下降27%、土地财政贡献度弱化，反映地方综合财力对房地产周期的敞口。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图表：2023-2025年铁岭市财政收入情况(单位:亿元、%)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-1.98%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243.57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-3.23%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-28.03%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资料来源:铁岭市财政决算、企业预警通,风控信评部整理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土地市场方面，【待补充:铁岭市土地出让与房地产销售数据（土地市场数据库未覆盖该市）】。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铁岭市地方政府债务余额分别为393.75亿元、487.29亿元、542.23亿元，2025年末债务限额548.65亿元，债务余额控制在限额以内；城投有息债务2025年末估算余额141.00亿元。债务率指标看，2025年末政府债务率834.23%、城投债务率216.93%、宽口径债务率1051.16%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铁岭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