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锦州市信用评级报告(区域部分)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锦州经济总量列辽宁省第六位，人均GDP约—万元、人均经济实力居省内中游，经济增速由5.35%回落至4.60%、有所放缓；固定资产投资最新增速转负（-23.40%），经济动能仍有待修复。【待补充：锦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锦州市2023、2024、2025年地区生产总值分别为1,320.10亿元、1,353.56亿元、1,365.30亿元，同比增长5.35%、5.90%、4.60%。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产业结构方面，2025年锦州市三次产业结构为16.6:26.5:56.9。【待补充：支柱产业、主要龙头企业、对外贸易等定性描述（数据库未覆盖）】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2023、2024、2025年固定资产投资增速分别为7.52%、9.60%、-23.40%，2025年社会消费品零售总额400.30亿元，进出口总额15.99亿美元。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锦州市2025年GDP总量1,365.30亿元、列全省第六位，一般公共预算收入126.60亿元、列全省第六位。整体来看，锦州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锦州市财政体量在辽宁省处于中游，税收占比44.87%、税收占比处于一般水平，但政府性基金收入总体平稳；2025年末宽口径债务率576.37%、处于偏高水平，已显著高于公认的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锦州市一般公共预算收入分别为114.29亿元、121.38亿元、126.60亿元，其中税收收入72.44亿元、64.23亿元、56.80亿元，税收占比维持在63.38%、52.91%、44.87%；一般公共预算支出278.92亿元、308.59亿元、262.00亿元，财政自给率40.98%、39.33%、48.32%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政府性基金收入方面，2023、2024、2025年分别为13.76亿元、17.90亿元、14.50亿元，政府性基金收入总体平稳，反映地方综合财力对房地产周期的敞口。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图表：2023-2025年锦州市财政收入情况(单位:亿元、%)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308.59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-18.99%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资料来源:锦州市财政决算、企业预警通,风控信评部整理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土地市场方面，【待补充:锦州市土地出让与房地产销售数据（土地市场数据库未覆盖该市）】。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锦州市地方政府债务余额分别为577.40亿元、605.73亿元、630.00亿元，2025年末债务限额640.71亿元，债务余额控制在限额以内；城投有息债务2025年末估算余额183.31亿元。债务率指标看，2025年末政府债务率446.46%、城投债务率129.90%、宽口径债务率576.37%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锦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