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阜新市信用评级报告(区域部分)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阜新经济总量列辽宁省第14位，人均GDP约—万元、人均经济实力居省内中游，经济增速由4.55%回落至2.10%、有所放缓；固定资产投资连续负增长（最新-16.50%），经济动能仍有待修复。【待补充：阜新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阜新市2023、2024、2025年地区生产总值分别为631.40亿元、650.00亿元、651.80亿元，同比增长4.55%、4.50%、2.10%。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产业结构方面，2025年阜新市三次产业结构为9.2:61.7:29.1。【待补充：支柱产业、主要龙头企业、对外贸易等定性描述（数据库未覆盖）】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2023、2024、2025年固定资产投资增速分别为1.60%、-9.90%、-16.50%，2025年社会消费品零售总额237.60亿元，进出口总额2.14亿美元。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阜新市2025年GDP总量651.80亿元、列全省第14位，一般公共预算收入53.68亿元、列全省第14位。整体来看，阜新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阜新市财政体量在辽宁省处于中游，税收占比54.99%、税收占比处于一般水平，但政府性基金收入较2023年累计增长19%；2025年末宽口径债务率600.90%、处于偏高水平，已显著高于公认的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阜新市一般公共预算收入分别为47.42亿元、50.04亿元、53.68亿元，其中税收收入28.53亿元、28.39亿元、29.51亿元，税收占比维持在60.17%、56.73%、54.99%；一般公共预算支出173.77亿元、172.45亿元、174.28亿元，财政自给率27.29%、29.02%、30.80%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政府性基金收入方面，2023、2024、2025年分别为3.54亿元、6.48亿元、4.22亿元，政府性基金收入较2023年累计增长19%，反映地方综合财力对房地产周期的敞口。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图表：2023-2025年阜新市财政收入情况(单位:亿元、%)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-34.88%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资料来源:阜新市财政决算、企业预警通,风控信评部整理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土地市场方面，【待补充:阜新市土地出让与房地产销售数据（土地市场数据库未覆盖该市）】。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阜新市地方政府债务余额分别为253.35亿元、269.69亿元、293.02亿元，2025年末债务限额296.18亿元，债务余额控制在限额以内；城投有息债务2025年末估算余额55.51亿元。债务率指标看，2025年末政府债务率505.20%、城投债务率95.70%、宽口径债务率600.90%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阜新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