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鞍山市信用评级报告(区域部分)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鞍山经济总量列辽宁省第三位，人均GDP约—万元、人均经济实力居省内中游，经济增速维持在5.50%左右、总体平稳；固定资产投资最新增速转负（-10.40%），经济动能仍有待修复。【待补充：鞍山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鞍山市2023、2024、2025年地区生产总值分别为2,080.20亿元、2,129.50亿元、2,180.40亿元，同比增长5.66%、5.00%、5.50%。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产业结构方面，2025年鞍山市三次产业结构为5.8:31.1:63。【待补充：支柱产业、主要龙头企业、对外贸易等定性描述（数据库未覆盖）】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2023、2024、2025年固定资产投资增速分别为12.03%、7.10%、-10.40%，2025年社会消费品零售总额820.90亿元，进出口总额43.51亿美元。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图表：2025年辽宁省各地级市主要经济指标对比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10,002.10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5.1:35.5:59.4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沈阳市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9,100.30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4.1:32.8:63.1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5.8:31.1:63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营口市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8.2:31.4:60.4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盘锦市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7.8:46.9:45.3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16.6:26.5:56.9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朝阳市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21.3:27.7:51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丹东市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19.6:25.4:55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葫芦岛市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本溪市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5.9:37.2:56.9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6.4:36.9:56.7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10:42:48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铁岭市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9.2:61.7:29.1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鞍山市2025年GDP总量2,180.40亿元、列全省第三位，一般公共预算收入175.44亿元、列全省第三位。整体来看，鞍山市经济基本面在辽宁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鞍山市财政体量在辽宁省位居前列，税收占比66.19%、税收质量较好，但政府性基金收入较2023年累计下降67%、土地财政贡献度弱化；2025年末宽口径债务率682.45%、处于偏高水平，已显著高于公认的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鞍山市一般公共预算收入分别为160.38亿元、172.25亿元、175.44亿元，其中税收收入115.15亿元、112.36亿元、116.13亿元，税收占比维持在71.80%、65.23%、66.19%；一般公共预算支出310.46亿元、311.46亿元、295.50亿元，财政自给率51.66%、55.30%、59.37%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政府性基金收入方面，2023、2024、2025年分别为42.74亿元、43.06亿元、14.22亿元，政府性基金收入较2023年累计下降67%、土地财政贡献度弱化，反映地方综合财力对房地产周期的敞口。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图表：2023-2025年鞍山市财政收入情况(单位:亿元、%)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1.85%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112.36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-2.42%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116.13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65.23%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311.46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-5.12%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51.66%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-66.98%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资料来源:鞍山市财政决算、企业预警通,风控信评部整理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土地市场方面，【待补充:鞍山市土地出让与房地产销售数据（土地市场数据库未覆盖该市）】。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鞍山市地方政府债务余额分别为973.42亿元、1,028.30亿元、1,097.70亿元，2025年末债务限额1,116.60亿元，债务余额控制在限额以内；城投有息债务2025年末估算余额216.62亿元。债务率指标看，2025年末政府债务率569.97%、城投债务率112.48%、宽口径债务率682.45%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鞍山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