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商洛市信用评级报告(区域部分)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商洛经济总量列陕西省第八位，人均GDP约4.10万元、人均经济实力在省内相对靠后，经济增速由-0.20%回升至5.80%、动能边际改善；固定资产投资最新增速10.40%，经济运行总体平稳。【待补充：商洛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商洛市2023、2024、2025年地区生产总值分别为738.04亿元、780.13亿元、823.92亿元，同比增长-0.20%、6.33%、5.80%。截至2025年末，全市常住人口200.51万人，人均GDP约4.10万元。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产业结构方面，2025年商洛市三次产业结构为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2023、2024、2025年固定资产投资增速分别为1.80%、15.00%、10.40%，2025年社会消费品零售总额320.00亿元，进出口总额0.86亿美元。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图表：2025年陕西省各地级市主要经济指标对比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13,902.67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2.39:28.56:69.05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979.35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1323.63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榆林市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7,501.06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362.00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咸阳市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3,104.53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14.4:35.9:49.7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403.77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宝鸡市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2,648.87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112.07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延安市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2,372.17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10.9:53.4:35.7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173.97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221.82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渭南市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2,231.76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20.2:25.7:54.1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453.38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汉中市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商洛市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823.92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200.51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铜川市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607.15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6.5:33.8:59.7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70.36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商洛市2025年GDP总量823.92亿元、列全省第八位，一般公共预算收入32.20亿元、列全省第九位。整体来看，商洛市经济基本面在陕西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商洛市财政体量在陕西省处于中游，税收占比54.35%、税收占比处于一般水平，但政府性基金收入较2023年累计下降61%、土地财政贡献度弱化；2025年末宽口径债务率1521.16%、处于偏高水平，已显著高于公认的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商洛市一般公共预算收入分别为30.29亿元、31.86亿元、32.20亿元，其中税收收入17.76亿元、17.31亿元、17.50亿元，税收占比维持在58.61%、54.34%、54.35%；一般公共预算支出315.16亿元、325.98亿元、330.21亿元，财政自给率9.61%、9.77%、9.75%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政府性基金收入方面，2023、2024、2025年分别为25.11亿元、15.28亿元、9.69亿元，政府性基金收入较2023年累计下降61%、土地财政贡献度弱化，反映地方综合财力对房地产周期的敞口。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图表：2023-2025年商洛市财政收入情况(单位:亿元、%)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23.99%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1.07%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-2.53%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1.10%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315.16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325.98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330.21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-39.15%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-36.58%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资料来源:商洛市财政决算、企业预警通,风控信评部整理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土地市场方面，【待补充:商洛市土地出让与房地产销售数据（土地市场数据库未覆盖该市）】。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商洛市地方政府债务余额分别为442.87亿元、512.78亿元、584.10亿元，2025年末债务限额604.30亿元，债务余额控制在限额以内；城投有息债务2025年末估算余额54.16亿元。债务率指标看，2025年末政府债务率1392.07%、城投债务率129.09%、宽口径债务率1521.16%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商洛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