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安康市信用评级报告(区域部分)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安康经济总量列陕西省第十位，人均GDP约—万元、人均经济实力居省内中游，经济增速由0.10%回升至5.60%、动能边际改善；固定资产投资最新增速8.50%，经济运行总体平稳。【待补充：安康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安康市2023、2024、2025年地区生产总值分别为1,078.01亿元、1,140.69亿元、—亿元，同比增长0.10%、5.95%、5.60%。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产业结构方面，2025年安康市三次产业结构为 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2023、2024、2025年固定资产投资增速分别为0.30%、11.60%、8.50%，进出口总额1.68亿美元。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图表：2025年陕西省各地级市主要经济指标对比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西安市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13,902.67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2.39:28.56:69.05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979.35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1323.63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榆林市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7,501.06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562.52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362.00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咸阳市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3,104.53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14.4:35.9:49.7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403.77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宝鸡市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2,648.87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112.07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延安市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2,372.17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10.9:53.4:35.7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173.97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221.82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渭南市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2,231.76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20.2:25.7:54.1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453.38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汉中市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商洛市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823.92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200.51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铜川市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607.15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6.5:33.8:59.7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70.36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安康市2025年GDP总量—亿元、列全省第十位，一般公共预算收入39.34亿元、列全省第八位。整体来看，安康市经济基本面在陕西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安康市财政体量在陕西省处于中游，税收占比53.72%、税收占比处于一般水平，但政府性基金收入总体平稳；2025年末宽口径债务率1261.64%、处于偏高水平，已显著高于公认的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安康市一般公共预算收入分别为35.22亿元、37.90亿元、39.34亿元，其中税收收入22.65亿元、22.60亿元、21.13亿元，税收占比维持在64.31%、59.63%、53.72%；一般公共预算支出388.46亿元、410.23亿元、400.04亿元，财政自给率9.07%、9.24%、9.83%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政府性基金收入方面，2023、2024、2025年分别为34.32亿元、37.72亿元、36.98亿元，政府性基金收入总体平稳，反映地方综合财力对房地产周期的敞口。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图表：2023-2025年安康市财政收入情况(单位:亿元、%)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12.27%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7.61%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-0.22%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-6.50%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64.31%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59.63%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53.72%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388.46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410.23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400.04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-2.48%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9.07%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-1.96%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资料来源:安康市财政决算、企业预警通,风控信评部整理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土地市场方面，【待补充:安康市土地出让与房地产销售数据（土地市场数据库未覆盖该市）】。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安康市地方政府债务余额分别为530.12亿元、641.20亿元、775.40亿元，2025年末债务限额794.80亿元，债务余额控制在限额以内；城投有息债务2025年末估算余额221.35亿元。债务率指标看，2025年末政府债务率981.46%、城投债务率280.18%、宽口径债务率1261.64%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安康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