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宝鸡市信用评级报告(区域部分)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宝鸡经济总量列陕西省第四位，人均GDP约—万元、人均经济实力居省内中游，经济增速由1.50%回升至6.00%、动能边际改善；固定资产投资最新增速8.60%，经济运行总体平稳。【待补充：宝鸡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宝鸡市2023、2024、2025年地区生产总值分别为2,405.32亿元、2,525.48亿元、2,648.87亿元，同比增长1.50%、5.40%、6.00%。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产业结构方面，2025年宝鸡市三次产业结构为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2023、2024、2025年固定资产投资增速分别为0.20%、11.60%、8.60%，进出口总额8.40亿美元。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宝鸡市2025年GDP总量2,648.87亿元、列全省第四位，一般公共预算收入112.07亿元、列全省第五位。整体来看，宝鸡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宝鸡市财政体量在陕西省处于中游，税收占比62.84%、税收质量较好，但政府性基金收入较2023年累计下降30%、土地财政贡献度弱化；2025年末宽口径债务率932.98%、处于偏高水平，已显著高于公认的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宝鸡市一般公共预算收入分别为102.50亿元、108.71亿元、112.07亿元，其中税收收入67.60亿元、71.42亿元、70.42亿元，税收占比维持在65.95%、65.69%、62.84%；一般公共预算支出418.77亿元、448.55亿元、451.16亿元，财政自给率24.48%、24.24%、24.84%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政府性基金收入方面，2023、2024年分别为53.56亿元、37.75亿元，政府性基金收入较2023年累计下降30%、土地财政贡献度弱化，反映地方综合财力对房地产周期的敞口。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图表：2023-2025年宝鸡市财政收入情况(单位:亿元、%)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资料来源:宝鸡市财政决算、企业预警通,风控信评部整理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土地市场方面，【待补充:宝鸡市土地出让与房地产销售数据（土地市场数据库未覆盖该市）】。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宝鸡市地方政府债务余额分别为433.65亿元、573.08亿元、744.40亿元，2025年末债务限额771.90亿元，债务余额控制在限额以内；城投有息债务2025年末估算余额301.19亿元。债务率指标看，2025年末政府债务率664.23%、城投债务率268.75%、宽口径债务率932.98%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宝鸡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