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延安市信用评级报告(区域部分)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延安经济总量列陕西省第五位，人均GDP约10.62万元、人均经济实力居全省前列，经济增速由1.60%回升至4.30%、动能边际改善；固定资产投资最新增速转负（-6.10%），经济动能仍有待修复。【待补充：延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延安市2023、2024、2025年地区生产总值分别为2,289.51亿元、2,369.93亿元、2,372.17亿元，同比增长1.60%、5.30%、4.30%。截至2025年末，全市常住人口221.82万人，人均GDP约10.62万元。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产业结构方面，2025年延安市三次产业结构为10.9:53.4:35.7。【待补充：支柱产业、主要龙头企业、对外贸易等定性描述（数据库未覆盖）】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2023、2024、2025年固定资产投资增速分别为1.70%、6.50%、-6.10%，2025年社会消费品零售总额426.23亿元，进出口总额4.46亿美元。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图表：2025年陕西省各地级市主要经济指标对比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13,902.67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2.39:28.56:69.05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979.35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1323.63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榆林市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7,501.06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562.52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3,104.53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14.4:35.9:49.7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403.77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宝鸡市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2,648.87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延安市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2,372.17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10.9:53.4:35.7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221.82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渭南市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2,231.76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20.2:25.7:54.1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453.38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汉中市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823.92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200.51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铜川市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607.15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6.5:33.8:59.7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70.36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延安市2025年GDP总量2,372.17亿元、列全省第五位，一般公共预算收入173.97亿元、列全省第三位。整体来看，延安市经济基本面在陕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延安市财政体量在陕西省位居前列，税收占比66.23%、税收质量较好，但政府性基金收入较2023年累计增长14%；2025年末宽口径债务率551.73%、处于偏高水平，已显著高于公认的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延安市一般公共预算收入分别为165.13亿元、173.64亿元、173.97亿元，其中税收收入128.82亿元、126.54亿元、115.23亿元，税收占比维持在78.01%、72.87%、66.23%；一般公共预算支出507.97亿元、560.58亿元、515.88亿元，财政自给率32.51%、30.98%、33.72%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政府性基金收入方面，2023、2024、2025年分别为34.22亿元、47.84亿元、38.95亿元，政府性基金收入较2023年累计增长14%，反映地方综合财力对房地产周期的敞口。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图表：2023-2025年延安市财政收入情况(单位:亿元、%)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-8.94%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507.97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-7.97%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-18.58%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资料来源:延安市财政决算、企业预警通,风控信评部整理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土地市场方面，【待补充:延安市土地出让与房地产销售数据（土地市场数据库未覆盖该市）】。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延安市地方政府债务余额分别为658.00亿元、755.17亿元、830.15亿元，2025年末债务限额866.00亿元，债务余额控制在限额以内；城投有息债务2025年末估算余额497.36亿元。债务率指标看，2025年末政府债务率345.02%、城投债务率206.71%、宽口径债务率551.73%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延安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