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榆林市信用评级报告(区域部分)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榆林经济总量列陕西省第二位，人均GDP约20.72万元、人均经济实力居全省前列，经济增速由5.70%回落至5.30%、有所放缓；固定资产投资最新增速5.60%，经济运行总体平稳。【待补充：榆林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榆林市2023、2024、2025年地区生产总值分别为7,219.11亿元、7,451.83亿元、7,501.06亿元，同比增长5.70%、6.02%、5.30%。截至2025年末，全市常住人口362.00万人，人均GDP约20.72万元（按当年GDP与常住人口估算）。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产业结构方面，2025年榆林市三次产业结构为 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2023、2024、2025年固定资产投资增速分别为2.60%、8.10%、5.60%，2025年社会消费品零售总额1,053.95亿元，进出口总额12.89亿美元。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图表：2025年陕西省各地级市主要经济指标对比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13,902.67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2.39:28.56:69.05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979.35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1323.63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榆林市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7,501.06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咸阳市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3,104.53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14.4:35.9:49.7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403.77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宝鸡市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2,648.87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112.07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延安市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2,372.17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10.9:53.4:35.7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221.82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渭南市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2,231.76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20.2:25.7:54.1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453.38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汉中市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商洛市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823.92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200.51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607.15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6.5:33.8:59.7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70.36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榆林市2025年GDP总量7,501.06亿元、列全省第二位，一般公共预算收入562.52亿元、列全省第二位。整体来看，榆林市经济基本面在陕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榆林市财政体量在陕西省位居前列，税收占比74.31%、税收质量较好，但政府性基金收入较2023年累计下降16%、土地财政贡献度弱化；2025年末宽口径债务率188.15%、处于可控水平，整体处于可控水平。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榆林市一般公共预算收入分别为661.88亿元、618.90亿元、562.52亿元，其中税收收入543.00亿元、509.86亿元、418.01亿元，税收占比维持在82.04%、82.38%、74.31%；一般公共预算支出1,096.33亿元、1,224.69亿元、1,150.71亿元，财政自给率60.37%、50.53%、48.88%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政府性基金收入方面，2023、2024、2025年分别为83.19亿元、78.36亿元、70.09亿元，政府性基金收入较2023年累计下降16%、土地财政贡献度弱化，反映地方综合财力对房地产周期的敞口。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图表：2023-2025年榆林市财政收入情况(单位:亿元、%)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661.88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-6.49%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-9.11%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509.86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418.01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-18.01%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82.04%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1,096.33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1,224.69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-6.04%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60.37%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48.88%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-5.81%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-10.55%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资料来源:榆林市财政决算、企业预警通,风控信评部整理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土地市场方面，【待补充:榆林市土地出让与房地产销售数据（土地市场数据库未覆盖该市）】。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榆林市地方政府债务余额分别为626.35亿元、744.24亿元、859.10亿元，2025年末债务限额891.40亿元，债务余额控制在限额以内；城投有息债务2025年末估算余额505.53亿元。债务率指标看，2025年末政府债务率118.45%、城投债务率69.70%、宽口径债务率188.15%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榆林市财政基本盘较为扎实，但土地财政收缩与债务规模扩张是当前主要压力线；我们预计宽口径债务率短期内将维持可控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