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汉中市信用评级报告(区域部分)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汉中经济总量列陕西省第七位，人均GDP约—万元、人均经济实力居省内中游，经济增速由2.80%回升至6.40%、动能边际改善；固定资产投资最新增速9.20%，经济运行总体平稳。【待补充：汉中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汉中市2023、2024、2025年地区生产总值分别为1,815.67亿元、1,909.90亿元、2,000.00亿元，同比增长2.80%、6.24%、6.40%。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产业结构方面，2025年汉中市三次产业结构为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2023、2024、2025年固定资产投资增速分别为1.80%、11.70%、9.20%，进出口总额1.93亿美元。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图表：2025年陕西省各地级市主要经济指标对比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13,902.67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2.39:28.56:69.05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979.35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1323.63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榆林市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7,501.06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14.4:35.9:49.7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403.77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宝鸡市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2,648.87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2,372.17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10.9:53.4:35.7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221.82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渭南市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20.2:25.7:54.1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453.38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汉中市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823.92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200.51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607.15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6.5:33.8:59.7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汉中市2025年GDP总量2,000.00亿元、列全省第七位，一般公共预算收入57.88亿元、列全省第七位。整体来看，汉中市经济基本面在陕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汉中市财政体量在陕西省处于中游，税收占比60.71%、税收质量较好，但政府性基金收入较2023年累计下降57%、土地财政贡献度弱化；2025年末宽口径债务率1018.61%、处于偏高水平，已显著高于公认的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汉中市一般公共预算收入分别为52.60亿元、57.55亿元、57.88亿元，其中税收收入36.28亿元、35.87亿元、35.14亿元，税收占比维持在68.98%、62.32%、60.71%；一般公共预算支出422.89亿元、440.27亿元、440.59亿元，财政自给率12.44%、13.07%、13.14%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政府性基金收入方面，2023、2024、2025年分别为49.03亿元、46.28亿元、20.99亿元，政府性基金收入较2023年累计下降57%、土地财政贡献度弱化，反映地方综合财力对房地产周期的敞口。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图表：2023-2025年汉中市财政收入情况(单位:亿元、%)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-2.04%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422.89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440.59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-54.65%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资料来源:汉中市财政决算、企业预警通,风控信评部整理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土地市场方面，【待补充:汉中市土地出让与房地产销售数据（土地市场数据库未覆盖该市）】。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汉中市地方政府债务余额分别为508.95亿元、666.12亿元、752.30亿元，2025年末债务限额786.80亿元，债务余额控制在限额以内；城投有息债务2025年末估算余额52.71亿元。债务率指标看，2025年末政府债务率951.92%、城投债务率66.69%、宽口径债务率1018.61%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汉中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