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渭南市信用评级报告(区域部分)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渭南经济总量列陕西省第六位，人均GDP约4.90万元、人均经济实力在省内相对靠后，经济增速由2.60%回升至5.60%、动能边际改善；固定资产投资最新增速6.10%，经济运行总体平稳。【待补充：渭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渭南市2023、2024、2025年地区生产总值分别为2,088.54亿元、2,154.56亿元、2,231.76亿元，同比增长2.60%、5.60%、5.60%。截至2025年末，全市常住人口453.38万人，人均GDP约4.90万元。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产业结构方面，2025年渭南市三次产业结构为20.2:25.7:54.1。【待补充：支柱产业、主要龙头企业、对外贸易等定性描述（数据库未覆盖）】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2023、2024、2025年固定资产投资增速分别为0.30%、11.50%、6.10%，进出口总额3.50亿美元。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渭南市2025年GDP总量2,231.76亿元、列全省第六位，一般公共预算收入82.85亿元、列全省第六位。整体来看，渭南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渭南市财政体量在陕西省处于中游，税收占比61.80%、税收质量较好，但政府性基金收入总体平稳；2025年末宽口径债务率1144.69%、处于偏高水平，已显著高于公认的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渭南市一般公共预算收入分别为106.90亿元、87.77亿元、82.85亿元，其中税收收入58.94亿元、57.84亿元、51.20亿元，税收占比维持在55.14%、65.90%、61.80%；一般公共预算支出564.41亿元、576.49亿元、551.25亿元，财政自给率18.94%、15.22%、15.03%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政府性基金收入方面，2023、2024、2025年分别为39.86亿元、67.39亿元、38.04亿元，政府性基金收入总体平稳，反映地方综合财力对房地产周期的敞口。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图表：2023-2025年渭南市财政收入情况(单位:亿元、%)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-43.55%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资料来源:渭南市财政决算、企业预警通,风控信评部整理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土地市场方面，【待补充:渭南市土地出让与房地产销售数据（土地市场数据库未覆盖该市）】。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渭南市地方政府债务余额分别为651.62亿元、806.66亿元、948.70亿元，2025年末债务限额972.70亿元，债务余额控制在限额以内；城投有息债务2025年末估算余额481.49亿元。债务率指标看，2025年末政府债务率759.31%、城投债务率385.37%、宽口径债务率1144.69%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渭南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