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西安市信用评级报告(区域部分)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西安经济总量在陕西省稳居第一，人均GDP约10.53万元、人均经济实力居全省中游，经济增速由5.80%回落至4.70%、有所放缓；固定资产投资最新增速转负（-15.30%），经济动能仍有待修复。【待补充：西安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西安市2023、2024、2025年地区生产总值分别为12,756.21亿元、13,369.14亿元、13,902.67亿元，同比增长5.80%、4.50%、4.70%。截至2025年末，全市常住人口1323.63万人，人均GDP约10.53万元。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产业结构方面，2025年西安市三次产业结构为2.39:28.56:69.05。【待补充：支柱产业、主要龙头企业、对外贸易等定性描述（数据库未覆盖）】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2023、2024、2025年固定资产投资增速分别为0.10%、0.20%、-15.30%，2025年社会消费品零售总额5,721.21亿元，进出口总额698.30亿美元。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图表：2025年陕西省各地级市主要经济指标对比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13,902.67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2.39:28.56:69.05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1323.63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榆林市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7,501.06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14.4:35.9:49.7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宝鸡市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10.9:53.4:35.7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渭南市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20.2:25.7:54.1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汉中市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6.5:33.8:59.7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西安市2025年GDP总量13,902.67亿元、列全省第一位，一般公共预算收入979.35亿元、列全省第一位。整体来看，西安市经济基本面在陕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西安市财政体量在陕西省稳居第一，税收占比71.66%、税收质量较好，但政府性基金收入较2023年累计下降48%、土地财政贡献度弱化；2025年末宽口径债务率1081.07%、处于偏高水平，已显著高于公认的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西安市一般公共预算收入分别为951.92亿元、1,002.36亿元、979.35亿元，其中税收收入687.97亿元、714.95亿元、701.77亿元，税收占比维持在72.27%、71.33%、71.66%；一般公共预算支出1,730.47亿元、1,561.85亿元、1,512.54亿元，财政自给率55.01%、64.18%、64.75%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政府性基金收入方面，2023、2024、2025年分别为1,321.44亿元、1,214.91亿元、681.83亿元，政府性基金收入较2023年累计下降48%、土地财政贡献度弱化，反映地方综合财力对房地产周期的敞口。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图表：2023-2025年西安市财政收入情况(单位:亿元、%)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951.92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1,002.36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-2.30%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687.97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-1.84%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1,561.85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1,512.54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1,321.44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681.83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-43.88%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资料来源:西安市财政决算、企业预警通,风控信评部整理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西安市经营性用地成交价分别为1,120.13亿元、1,220.17亿元、1,079.01亿元、937.31亿元、581.68亿元，2025年较2021年下降48.07%；同期平均溢价率为16.66%、0.63%、1.98%、1.08%、0.81%；成交楼面均价为3,439元/㎡。2026年1-4月，西安市经营性用地累计成交43宗、规划建面471.71万㎡、成交价82.34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图表:2021-2025年西安市土地出让情况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3,774.89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2,967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1,120.13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4,134.16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2,947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1,220.17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3,861.02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2,794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1,079.01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2,782.29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3,369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937.31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1,690.44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3,439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581.68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471.71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82.34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西安市商品住宅成交面积由963.59万㎡变动至661.47万㎡、累计下降31.4%；新房均价2025年为17,569元/㎡、较2024年高点(19,006元/㎡)累计下跌7.56%；2025年去化周期24.33个月。据中指冰山指数(最低挂牌价口径)，西安二手房挂牌价较2018年6月高点累计下跌46.35%，2023年累计跌幅-6.23%、2024年累计跌幅-9.93%、2025年累计跌幅-15.53%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西安市地方政府债务余额分别为4,029.69亿元、4,643.76亿元、5,363.20亿元，2025年末债务限额5,525.00亿元，债务余额控制在限额以内；城投有息债务2025年末估算余额12,726.65亿元。债务率指标看，2025年末政府债务率320.51%、城投债务率760.56%、宽口径债务率1081.07%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西安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