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塔城地区信用评级报告(区域部分)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塔城地区作为新疆维吾尔自治区下辖的民族自治地区，经济总量列新疆维吾尔自治区第九位，人均GDP约9.41万元、人均经济实力在省内相对靠后，经济增速由7.10%回落至5.30%、有所放缓；固定资产投资最新增速24.60%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塔城地区2023、2024、2025年地区生产总值分别为976.74亿元、998.72亿元、1,050.47亿元，同比增长7.10%、6.60%、5.30%。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产业结构方面，2025年塔城地区三次产业结构为38.1:20.8:41.1，第三产业占主导、服务业是经济主体，农业基础较好。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2023、2024、2025年固定资产投资增速分别为40.50%、23.30%、24.60%，2025年社会消费品零售总额93.99亿元，进出口总额20.51亿美元。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图表：2025年新疆维吾尔自治区各地级市主要经济指标对比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乌鲁木齐市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4,658.19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0.8:27.9:71.3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314.39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415.39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伊犁哈萨克自治州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3,470.95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23.3:28.3:48.4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昌吉回族自治州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2,637.67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11.4:55.5:33.1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阿克苏地区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22.7:32.4:44.9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喀什地区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1,752.12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29.8:16:54.2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巴音郭楞蒙古自治州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13.3:50.1:36.6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146.68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克拉玛依市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1.6:69.1:29.3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49.59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1,162.59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4.4:67.3:28.3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塔城地区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38.1:20.8:41.1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吐鲁番市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15.1:48.7:36.2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博尔塔拉蒙古自治州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19.4:26.5:54.1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阿勒泰地区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16.3:29.9:53.8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克孜勒苏柯尔克孜自治州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272.24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11.1:30.1:58.8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和田地区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塔城地区2025年GDP总量1,050.47亿元、列全省第九位，一般公共预算收入63.83亿元、列全省第十位。整体来看，塔城地区经济基本面在新疆维吾尔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塔城地区财政体量在新疆维吾尔自治区处于中游，税收占比53.70%、税收占比处于一般水平，但政府性基金收入较2023年累计增长69%；2025年末宽口径债务率581.59%、处于偏高水平，已显著高于公认的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塔城地区一般公共预算收入分别为56.89亿元、66.47亿元、63.83亿元，其中税收收入33.00亿元、37.75亿元、34.28亿元，税收占比维持在58.00%、56.80%、53.70%；一般公共预算支出248.73亿元、258.46亿元、274.67亿元，财政自给率22.87%、25.72%、23.24%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政府性基金收入方面，2023、2024、2025年分别为29.96亿元、49.87亿元、50.54亿元，政府性基金收入较2023年累计增长69%，反映地方综合财力对房地产周期的敞口。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图表：2023-2025年塔城地区财政收入情况(单位:亿元、%)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-3.97%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-9.19%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248.73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资料来源:塔城地区财政决算、企业预警通,风控信评部整理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土地市场方面，【待补充:塔城地区土地出让与房地产销售数据（土地市场数据库未覆盖该市）】。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塔城地区地方政府债务余额分别为388.32亿元、475.67亿元、561.44亿元，2025年末债务限额574.42亿元，债务余额控制在限额以内；城投有息债务2025年末估算余额107.22亿元。债务率指标看，2025年末政府债务率488.33%、城投债务率93.26%、宽口径债务率581.59%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塔城地区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