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南京市信用评级报告(区域部分)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南京作为江苏省省会，经济总量列江苏省第二位，人均GDP约20.22万元、人均经济实力居全省中游，经济增速由4.70%回升至5.20%、动能边际改善；固定资产投资连续负增长（最新-4.90%），经济动能仍有待修复。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南京市2023、2024、2025年地区生产总值分别为17,796.40亿元、18,593.77亿元、19,428.78亿元，同比增长4.70%、4.70%、5.20%。截至2025年末，全市常住人口963.85万人，人均GDP约20.22万元。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产业结构方面，2025年南京市三次产业结构为1.7:30.2:68，以电子信息、汽车、石化、软件和现代服务业为支柱，科教资源雄厚，聚集南瑞、苏宁等企业。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2023、2024、2025年固定资产投资增速分别为-1.90%、-17.10%、-4.90%，2025年社会消费品零售总额8,135.85亿元，进出口总额751.77亿美元。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南京市2025年GDP总量19,428.78亿元、列全省第二位，一般公共预算收入1,620.91亿元、列全省第二位。整体来看，南京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南京市财政体量在江苏省位居前列，税收占比81.69%、税收质量较好，但政府性基金收入较2023年累计下降29%、土地财政贡献度弱化；2025年末宽口径债务率992.86%、处于偏高水平，已显著高于公认的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南京市一般公共预算收入分别为1,619.98亿元、1,596.02亿元、1,620.91亿元，其中税收收入1,366.53亿元、1,290.71亿元、1,324.12亿元，税收占比维持在84.35%、80.87%、81.69%；一般公共预算支出1,838.70亿元、1,705.26亿元、1,704.89亿元，财政自给率88.10%、93.59%、95.07%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政府性基金收入方面，2023、2024、2025年分别为1,254.30亿元、937.59亿元、886.42亿元，政府性基金收入较2023年累计下降29%、土地财政贡献度弱化，反映地方综合财力对房地产周期的敞口。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图表：2023-2025年南京市财政收入情况(单位:亿元、%)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1,619.98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1,596.02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1,366.53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1,324.12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1,838.70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1,704.89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937.59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886.42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-5.46%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资料来源:南京市财政决算、企业预警通,风控信评部整理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南京市经营性用地成交价分别为2,114.07亿元、1,373.66亿元、1,205.56亿元、717.70亿元、771.37亿元，2025年较2021年下降63.51%；同期平均溢价率为11.13%、2.88%、4.38%、1.06%、2.81%；成交楼面均价由7,931元/㎡降至4,122元/㎡、累计下降48.03%。2026年1-4月，南京市经营性用地累计成交107宗、规划建面567.86万㎡、成交价120.26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图表:2021-2025年南京市土地出让情况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2,665.70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7,931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2,114.07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2,336.59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5,879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1,373.66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2,218.84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5,433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1,205.56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2,011.56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3,568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717.70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1,871.44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771.37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567.86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120.26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南京市商品住宅成交面积由1,326.74万㎡变动至306.42万㎡、累计下降76.9%；新房均价2025年为27,642元/㎡、较2022年高点(31,844元/㎡)累计下跌13.20%；2025年去化周期34.36个月。据中指冰山指数(最低挂牌价口径)，南京二手房挂牌价较2021年10月高点累计下跌45.15%，2023年累计跌幅-11.72%、2024年累计跌幅-14.59%、2025年累计跌幅-18.77%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南京市地方政府债务余额分别为3,070.03亿元、3,661.56亿元、4,454.02亿元，2025年末债务限额4,577.76亿元，债务余额控制在限额以内；城投有息债务2025年末估算余额20,647.58亿元。债务率指标看，2025年末政府债务率176.17%、城投债务率816.69%、宽口径债务率992.86%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南京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