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南通市信用评级报告(区域部分)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南通作为江苏省下辖地级市，经济总量列江苏省第四位，人均GDP约16.60万元、人均经济实力在省内相对靠后，经济增速维持在5.30%左右、总体平稳；固定资产投资最新增速转负（-4.90%），经济动能仍有待修复。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南通市2023、2024、2025年地区生产总值分别为11,828.00亿元、12,421.89亿元、12,801.50亿元，同比增长5.60%、6.20%、5.30%。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产业结构方面，2025年南通市三次产业结构为4.2:46.1:49.7，以船舶海工、纺织、建筑、电子信息为支柱，“建筑之乡”，沿江沿海临港产业发达。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2023、2024、2025年固定资产投资增速分别为2.60%、0.90%、-4.90%，2025年社会消费品零售总额3,855.40亿元，进出口总额615.94亿美元。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图表：2025年江苏省各地级市主要经济指标对比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苏州市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27,695.10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0.7:46.4:52.9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2,490.23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1304.77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南京市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19,428.78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1.7:30.2:68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1,620.91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963.85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无锡市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16,773.94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0.9:46.9:52.2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1,225.39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753.74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南通市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12,801.50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4.2:46.1:49.7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730.04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常州市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11,158.70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1.6:46.2:52.2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715.47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541.54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徐州市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9,957.22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575.33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扬州市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8,056.75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376.30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盐城市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8,045.30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515.74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泰州市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7,255.27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475.49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镇江市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5,736.78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3:45:52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339.03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淮安市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5,630.11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335.33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449.34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宿迁市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5,026.60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316.56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连云港市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4,830.94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9.9:42.6:47.5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305.74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456.20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南通市2025年GDP总量12,801.50亿元、列全省第四位，一般公共预算收入730.04亿元、列全省第四位。整体来看，南通市经济基本面在江苏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南通市财政体量在江苏省处于中游，税收占比74.79%、税收质量较好，但政府性基金收入较2023年累计下降22%、土地财政贡献度弱化；2025年末宽口径债务率866.31%、处于偏高水平，已显著高于公认的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南通市一般公共预算收入分别为680.16亿元、700.90亿元、730.04亿元，其中税收收入538.79亿元、525.79亿元、545.96亿元，税收占比维持在79.22%、75.02%、74.79%；一般公共预算支出1,180.93亿元、1,179.05亿元、1,188.69亿元，财政自给率57.60%、59.45%、61.42%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政府性基金收入方面，2023、2024、2025年分别为982.91亿元、834.54亿元、768.93亿元，政府性基金收入较2023年累计下降22%、土地财政贡献度弱化，反映地方综合财力对房地产周期的敞口。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图表：2023-2025年南通市财政收入情况(单位:亿元、%)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680.16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700.90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3.05%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730.04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4.16%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538.79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525.79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-2.41%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545.96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3.84%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79.22%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75.02%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74.79%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1,180.93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1,179.05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-0.16%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1,188.69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0.82%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59.45%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61.42%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982.91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834.54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-15.09%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768.93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-7.86%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资料来源:南通市财政决算、企业预警通,风控信评部整理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2021、2022、2023、2024、2025年南通市经营性用地成交价分别为1,390.86亿元、877.60亿元、956.00亿元、746.55亿元、730.30亿元，2025年较2021年下降47.49%；同期平均溢价率为7.24%、0.83%、0.31%、0.14%、0.14%；成交楼面均价为2,904元/㎡。2026年1-4月，南通市经营性用地累计成交166宗、规划建面714.60万㎡、成交价167.60亿元，延续低位运行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图表:2021-2025年南通市土地出让情况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年度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土地宗数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规划建面(万㎡)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成交楼面均价(元/㎡)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平均溢价率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成交价(亿元)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2021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827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4,945.05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2,813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7.24%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1,390.86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2022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517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4,065.05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2,159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0.83%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877.60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2023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665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4,204.14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2,274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0.31%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956.00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2024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571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3,026.50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2,466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0.14%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746.55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2025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545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2,514.41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2,904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0.14%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730.30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2026年1-4月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166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714.60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167.60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资料来源:中指数据库,风控信评部整理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从房地产销售看，2021-2025年南通市商品住宅成交面积由441.45万㎡变动至116.55万㎡、累计下降73.6%；新房均价2025年为16,272元/㎡、较2021年高点(17,238元/㎡)累计下跌5.60%；2025年去化周期42.18个月。据中指冰山指数(最低挂牌价口径)，南通二手房挂牌价较2021年5月高点累计下跌49.57%，2023年累计跌幅-15.38%、2024年累计跌幅-16.11%、2025年累计跌幅-17.93%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南通市地方政府债务余额分别为2,129.94亿元、2,616.08亿元、3,338.45亿元，2025年末债务限额3,393.48亿元，债务余额控制在限额以内；城投有息债务2025年末估算余额9,806.31亿元。债务率指标看，2025年末政府债务率220.02%、城投债务率646.29%、宽口径债务率866.31%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南通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