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宿迁市信用评级报告(区域部分)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宿迁作为江苏省下辖地级市，经济总量列江苏省第12位，人均经济实力居省内中游，经济增速由7.70%回落至5.60%、有所放缓；固定资产投资最新增速转负（-10.20%），经济动能仍有待修复。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宿迁市2023、2024、2025年地区生产总值分别为4,519.07亿元、4,801.85亿元、5,026.60亿元，同比增长7.70%、6.90%、5.60%。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产业结构方面，宿迁作为江苏省下辖地级市，区域产业结构以本地优势产业为主。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2023、2024、2025年固定资产投资增速分别为7.70%、5.60%、-10.20%，2025年社会消费品零售总额1,739.07亿元，进出口总额82.35亿美元。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宿迁市2025年GDP总量5,026.60亿元、列全省第12位，一般公共预算收入316.56亿元、列全省第12位。整体来看，宿迁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宿迁市财政体量在江苏省处于中游，税收占比81.76%、税收质量较好，但政府性基金收入较2023年累计下降30%、土地财政贡献度弱化；2025年末宽口径债务率375.91%、处于偏高水平，已显著高于公认的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宿迁市一般公共预算收入分别为302.00亿元、310.00亿元、316.56亿元，其中税收收入240.37亿元、249.05亿元、258.81亿元，税收占比维持在79.59%、80.34%、81.76%；一般公共预算支出641.80亿元、662.82亿元、688.58亿元，财政自给率47.06%、46.77%、45.97%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政府性基金收入方面，2023、2024、2025年分别为309.20亿元、217.18亿元、215.07亿元，政府性基金收入较2023年累计下降30%、土地财政贡献度弱化，反映地方综合财力对房地产周期的敞口。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图表：2023-2025年宿迁市财政收入情况(单位:亿元、%)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662.82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688.58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资料来源:宿迁市财政决算、企业预警通,风控信评部整理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土地市场方面，【待补充:宿迁市土地出让与房地产销售数据（土地市场数据库未覆盖该市）】。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宿迁市地方政府债务余额分别为968.85亿元、1,109.39亿元、1,286.84亿元，2025年末债务限额1,301.35亿元，债务余额控制在限额以内；城投有息债务2025年末估算余额1,963.03亿元。债务率指标看，2025年末政府债务率148.85%、城投债务率227.06%、宽口径债务率375.91%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宿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