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常州市信用评级报告(区域部分)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常州作为江苏省下辖地级市，经济总量列江苏省第五位，人均GDP约20.70万元、人均经济实力居全省中游，经济增速由6.60%回落至5.20%、有所放缓；固定资产投资最新增速转负（-19.00%），经济动能仍有待修复。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常州市2023、2024、2025年地区生产总值分别为10,297.36亿元、10,813.59亿元、11,158.70亿元，同比增长6.60%、6.10%、5.20%。截至2025年末，全市常住人口541.54万人，人均GDP约20.70万元。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产业结构方面，2025年常州市三次产业结构为1.6:46.2:52.2，以高端装备、新能源（动力电池）、新材料为支柱，“新能源之都”特征明显，聚集中创新航、理想汽车常州基地等。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2023、2024、2025年固定资产投资增速分别为2.50%、1.30%、-19.00%，2025年社会消费品零售总额2,918.10亿元，进出口总额521.06亿美元。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常州市2025年GDP总量11,158.70亿元、列全省第五位，一般公共预算收入715.47亿元、列全省第五位。整体来看，常州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常州市财政体量在江苏省处于中游，税收占比85.45%、税收质量较好，但政府性基金收入较2023年累计下降70%、土地财政贡献度弱化；2025年末宽口径债务率991.24%、处于偏高水平，已显著高于公认的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常州市一般公共预算收入分别为680.30亿元、697.80亿元、715.47亿元，其中税收收入585.34亿元、586.52亿元、611.41亿元，税收占比维持在86.04%、84.05%、85.45%；一般公共预算支出854.77亿元、890.07亿元、832.84亿元，财政自给率79.59%、78.40%、85.91%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政府性基金收入方面，2023、2024、2025年分别为1,396.20亿元、976.17亿元、413.71亿元，政府性基金收入较2023年累计下降70%、土地财政贡献度弱化，反映地方综合财力对房地产周期的敞口。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图表：2023-2025年常州市财政收入情况(单位:亿元、%)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697.80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611.41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832.84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1,396.20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-30.08%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413.71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-57.62%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资料来源:常州市财政决算、企业预警通,风控信评部整理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常州市经营性用地成交价分别为1,266.45亿元、1,072.89亿元、1,139.44亿元、771.50亿元、476.93亿元，2025年较2021年下降62.34%；同期平均溢价率为7.29%、2.37%、0.91%、0.93%、0.38%；成交楼面均价由3,630元/㎡降至2,430元/㎡、累计下降33.06%。2026年1-4月，常州市经营性用地累计成交89宗、规划建面421.96万㎡、成交价35.20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图表:2021-2025年常州市土地出让情况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3,488.97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1,266.45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3,174.12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1,072.89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3,801.37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0.91%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1,139.44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1,805.63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4,273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771.50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1,962.29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0.38%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476.93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421.96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常州市商品住宅成交面积由766.42万㎡变动至157.08万㎡、累计下降79.5%；新房均价2025年为14,061元/㎡、较2023年高点(16,318元/㎡)累计下跌13.83%。据中指冰山指数(最低挂牌价口径)，常州二手房挂牌价较2021年10月高点累计下跌40.31%，2023年累计跌幅-12.14%、2024年累计跌幅-14.44%、2025年累计跌幅-12.67%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常州市地方政府债务余额分别为1,899.74亿元、2,443.69亿元、3,116.88亿元，2025年末债务限额3,139.59亿元，债务余额控制在限额以内；城投有息债务2025年末估算余额8,232.58亿元。债务率指标看，2025年末政府债务率272.22%、城投债务率719.02%、宽口径债务率991.24%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常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