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徐州市信用评级报告(区域部分)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徐州作为江苏省下辖地级市，经济总量列江苏省第六位，人均经济实力居省内中游，经济增速由6.90%回落至5.80%、有所放缓；固定资产投资最新增速转负（-11.90%），经济动能仍有待修复。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徐州市2023、2024、2025年地区生产总值分别为9,012.44亿元、9,537.12亿元、9,957.22亿元，同比增长6.90%、6.40%、5.80%。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产业结构方面，徐州作为江苏省下辖地级市，以工程机械、能源化工、装备制造为支柱，是淮海经济区中心城市，聚集徐工集团。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2023、2024、2025年固定资产投资增速分别为7.40%、7.70%、-11.90%。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徐州市2025年GDP总量9,957.22亿元、列全省第六位，一般公共预算收入575.33亿元、列全省第六位。整体来看，徐州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徐州市财政体量在江苏省处于中游，税收占比72.41%、税收质量较好，但政府性基金收入较2023年累计下降49%、土地财政贡献度弱化；2025年末宽口径债务率958.28%、处于偏高水平，已显著高于公认的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徐州市一般公共预算收入分别为545.96亿元、560.29亿元、575.33亿元，其中税收收入415.69亿元、407.83亿元、416.58亿元，税收占比维持在76.14%、72.79%、72.41%；一般公共预算支出1,056.90亿元、1,052.38亿元、1,053.50亿元，财政自给率51.66%、53.24%、54.61%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政府性基金收入方面，2023、2024、2025年分别为697.82亿元、388.41亿元、357.19亿元，政府性基金收入较2023年累计下降49%、土地财政贡献度弱化，反映地方综合财力对房地产周期的敞口。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图表：2023-2025年徐州市财政收入情况(单位:亿元、%)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560.29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407.83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416.58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388.41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-44.34%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357.19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-8.04%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资料来源:徐州市财政决算、企业预警通,风控信评部整理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徐州市经营性用地成交价分别为782.49亿元、727.20亿元、538.20亿元、409.64亿元、282.71亿元，2025年较2021年下降63.87%；同期平均溢价率为21.54%、0.17%、0.49%、0.06%、0.57%；成交楼面均价由2,035元/㎡降至1,313元/㎡、累计下降35.48%。2026年1-4月，徐州市经营性用地累计成交66宗、规划建面262.37万㎡、成交价31.87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图表:2021-2025年徐州市土地出让情况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3,845.51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21.54%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782.49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4,447.35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727.20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3,106.19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1,733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0.49%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538.20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2,555.67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1,603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0.06%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409.64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2,153.54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1,313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282.71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31.87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徐州市商品住宅成交面积由1,522.20万㎡变动至571.47万㎡、累计下降62.5%；新房均价2025年为7,375元/㎡、较2021年高点(9,349元/㎡)累计下跌21.11%；2025年去化周期13.19个月。据中指冰山指数(最低挂牌价口径)，徐州二手房挂牌价较2021年6月高点累计下跌51.16%，2023年累计跌幅-16.72%、2024年累计跌幅-18.26%、2025年累计跌幅-16.63%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徐州市地方政府债务余额分别为1,634.78亿元、1,872.37亿元、2,072.90亿元，2025年末债务限额2,104.32亿元，债务余额控制在限额以内；城投有息债务2025年末估算余额6,992.42亿元。债务率指标看，2025年末政府债务率219.12%、城投债务率739.16%、宽口径债务率958.28%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徐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