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扬州市信用评级报告(区域部分)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扬州作为江苏省下辖地级市，经济总量列江苏省第七位，人均经济实力居省内中游，经济增速由5.90%回落至5.50%、有所放缓；固定资产投资最新增速转负（-26.10%），经济动能仍有待修复。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扬州市2023、2024、2025年地区生产总值分别为7,441.26亿元、7,809.64亿元、8,056.75亿元，同比增长5.90%、6.00%、5.50%。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产业结构方面，扬州作为江苏省下辖地级市，以汽车及零部件、高端装备、新材料和文化旅游为支柱。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2023、2024、2025年固定资产投资增速分别为10.50%、6.80%、-26.10%，2025年社会消费品零售总额1,961.68亿元，进出口总额185.83亿美元。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扬州市2025年GDP总量8,056.75亿元、列全省第七位，一般公共预算收入376.30亿元、列全省第九位。整体来看，扬州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扬州市财政体量在江苏省处于中游，税收占比77.36%、税收质量较好，但政府性基金收入较2023年累计下降18%、土地财政贡献度弱化；2025年末宽口径债务率770.41%、处于偏高水平，已显著高于公认的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扬州市一般公共预算收入分别为347.57亿元、361.18亿元、376.30亿元，其中税收收入277.00亿元、279.71亿元、291.10亿元，税收占比维持在79.69%、77.44%、77.36%；一般公共预算支出711.24亿元、728.73亿元、717.90亿元，财政自给率48.87%、49.56%、52.42%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政府性基金收入方面，2023、2024、2025年分别为651.63亿元、620.69亿元、537.00亿元，政府性基金收入较2023年累计下降18%、土地财政贡献度弱化，反映地方综合财力对房地产周期的敞口。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图表：2023-2025年扬州市财政收入情况(单位:亿元、%)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361.18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279.71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728.73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资料来源:扬州市财政决算、企业预警通,风控信评部整理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扬州市经营性用地成交价分别为601.00亿元、523.97亿元、636.00亿元、609.40亿元、471.43亿元，2025年较2021年下降21.56%；同期平均溢价率为12.98%、3.53%、7.52%、20.89%、0.20%；成交楼面均价由3,055元/㎡降至2,189元/㎡、累计下降28.35%。2026年1-4月，扬州市经营性用地累计成交104宗、规划建面454.55万㎡、成交价89.71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图表:2021-2025年扬州市土地出让情况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1,967.03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601.00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2,338.38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523.97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2,773.49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636.00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2,505.88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20.89%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609.40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2,153.19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471.43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454.55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89.71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从房地产销售看，2021-2025年扬州市商品住宅成交面积由220.16万㎡变动至90.58万㎡、累计下降58.9%；新房均价2025年为13,650元/㎡、较2022年高点(17,698元/㎡)累计下跌22.87%；2025年去化周期26.64个月。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扬州市地方政府债务余额分别为1,216.81亿元、1,430.20亿元、1,751.70亿元，2025年末债务限额1,777.80亿元，债务余额控制在限额以内；城投有息债务2025年末估算余额5,658.07亿元。债务率指标看，2025年末政府债务率182.13%、城投债务率588.28%、宽口径债务率770.41%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扬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