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淮安市信用评级报告(区域部分)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淮安作为江苏省下辖地级市，经济总量列江苏省第11位，人均GDP约12.49万元、人均经济实力在省内相对靠后，经济增速由7.60%回落至5.90%、有所放缓；固定资产投资最新增速转负（-5.40%），经济动能仍有待修复。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淮安市2023、2024、2025年地区生产总值分别为5,068.06亿元、5,387.35亿元、5,630.11亿元，同比增长7.60%、7.10%、5.90%。截至2025年末，全市常住人口449.34万人，人均GDP约12.49万元。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产业结构方面，淮安作为江苏省下辖地级市，区域产业结构以本地优势产业为主。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2023、2024、2025年固定资产投资增速分别为10.40%、13.30%、-5.40%，2025年社会消费品零售总额1,872.34亿元，进出口总额90.37亿美元。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淮安市2025年GDP总量5,630.11亿元、列全省第11位，一般公共预算收入335.33亿元、列全省第11位。整体来看，淮安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淮安市财政体量在江苏省处于中游，税收占比77.65%、税收质量较好，但政府性基金收入较2023年累计下降29%、土地财政贡献度弱化；2025年末宽口径债务率922.22%、处于偏高水平，已显著高于公认的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淮安市一般公共预算收入分别为316.61亿元、325.54亿元、335.33亿元，其中税收收入239.30亿元、249.72亿元、260.37亿元，税收占比维持在75.58%、76.71%、77.65%；一般公共预算支出717.35亿元、742.48亿元、718.35亿元，财政自给率44.14%、43.84%、46.68%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政府性基金收入方面，2023、2024、2025年分别为435.92亿元、370.71亿元、311.59亿元，政府性基金收入较2023年累计下降29%、土地财政贡献度弱化，反映地方综合财力对房地产周期的敞口。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图表：2023-2025年淮安市财政收入情况(单位:亿元、%)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75.58%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77.65%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718.35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-3.25%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435.92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-14.96%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311.59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-15.95%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资料来源:淮安市财政决算、企业预警通,风控信评部整理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土地市场方面，【待补充:淮安市土地出让与房地产销售数据（土地市场数据库未覆盖该市）】。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淮安市地方政府债务余额分别为832.65亿元、1,031.29亿元、1,304.56亿元，2025年末债务限额1,329.54亿元，债务余额控制在限额以内；城投有息债务2025年末估算余额5,155.51亿元。债务率指标看，2025年末政府债务率186.24%、城投债务率735.99%、宽口径债务率922.22%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淮安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