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盐城市信用评级报告(区域部分)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盐城作为江苏省下辖地级市，经济总量列江苏省第八位，人均经济实力居省内中游，经济增速由5.80%回落至5.40%、有所放缓；固定资产投资最新增速转负（-15.00%），经济动能仍有待修复。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盐城市2023、2024、2025年地区生产总值分别为7,432.87亿元、7,738.16亿元、8,045.30亿元，同比增长5.80%、5.50%、5.40%。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产业结构方面，盐城作为江苏省下辖地级市，区域产业结构以本地优势产业为主。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2023、2024、2025年固定资产投资增速分别为9.20%、0.30%、-15.00%，2025年社会消费品零售总额2,894.66亿元，进出口总额217.74亿美元。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图表：2025年江苏省各地级市主要经济指标对比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苏州市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27,695.10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0.7:46.4:52.9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2,490.23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1304.77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南京市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19,428.78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1.7:30.2:68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1,620.91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963.85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无锡市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16,773.94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0.9:46.9:52.2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1,225.39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753.74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南通市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12,801.50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4.2:46.1:49.7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730.04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常州市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11,158.70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1.6:46.2:52.2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715.47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541.54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徐州市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9,957.22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575.33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扬州市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8,056.75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376.30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盐城市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8,045.30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515.74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泰州市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7,255.27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475.49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镇江市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5,736.78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3:45:52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339.03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淮安市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5,630.11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335.33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449.34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宿迁市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5,026.60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316.56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连云港市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4,830.94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9.9:42.6:47.5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305.74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456.20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盐城市2025年GDP总量8,045.30亿元、列全省第八位，一般公共预算收入515.74亿元、列全省第七位。整体来看，盐城市经济基本面在江苏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盐城市财政体量在江苏省处于中游，税收占比67.29%、税收质量较好，但政府性基金收入较2023年累计下降47%、土地财政贡献度弱化；2025年末宽口径债务率824.87%、处于偏高水平，已显著高于公认的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盐城市一般公共预算收入分别为482.73亿元、496.24亿元、515.74亿元，其中税收收入341.25亿元、335.26亿元、347.03亿元，税收占比维持在70.69%、67.56%、67.29%；一般公共预算支出1,228.23亿元、1,137.35亿元、1,099.03亿元，财政自给率39.30%、43.63%、46.93%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政府性基金收入方面，2023、2024、2025年分别为810.19亿元、730.85亿元、425.83亿元，政府性基金收入较2023年累计下降47%、土地财政贡献度弱化，反映地方综合财力对房地产周期的敞口。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图表：2023-2025年盐城市财政收入情况(单位:亿元、%)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482.73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496.24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515.74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3.93%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341.25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335.26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-1.76%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347.03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3.51%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70.69%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67.56%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67.29%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1,228.23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1,137.35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-7.40%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1,099.03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-3.37%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43.63%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46.93%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810.19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730.85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-9.79%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425.83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-41.73%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资料来源:盐城市财政决算、企业预警通,风控信评部整理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土地市场方面，【待补充:盐城市土地出让与房地产销售数据（土地市场数据库未覆盖该市）】。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盐城市地方政府债务余额分别为1,654.87亿元、1,961.56亿元、2,092.14亿元，2025年末债务限额2,144.83亿元，债务余额控制在限额以内；城投有息债务2025年末估算余额8,920.76亿元。债务率指标看，2025年末政府债务率156.70%、城投债务率668.17%、宽口径债务率824.87%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盐城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