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苏州市信用评级报告(区域部分)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苏州作为江苏省下辖地级市，经济总量在江苏省稳居第一，人均GDP约21.30万元、人均经济实力居全省前列，经济增速由4.60%回升至5.40%、动能边际改善；固定资产投资最新增速转负（-6.50%），经济动能仍有待修复。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苏州市2023、2024、2025年地区生产总值分别为25,513.37亿元、26,726.98亿元、27,695.10亿元，同比增长4.60%、6.00%、5.40%。截至2025年末，全市常住人口1304.77万人，人均GDP约21.30万元。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产业结构方面，2025年苏州市三次产业结构为0.7:46.4:52.9，以电子信息、装备制造、生物医药、纳米新材料为支柱，依托苏州工业园区，外向型经济和制造业实力居全国前列。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2023、2024、2025年固定资产投资增速分别为5.00%、1.70%、-6.50%，2025年社会消费品零售总额9,092.20亿元，进出口总额3,930.92亿美元。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苏州市2025年GDP总量27,695.10亿元、列全省第一位，一般公共预算收入2,490.23亿元、列全省第一位。整体来看，苏州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苏州市财政体量在江苏省稳居第一，税收占比83.37%、税收质量较好，但政府性基金收入较2023年累计下降44%、土地财政贡献度弱化；2025年末宽口径债务率622.78%、处于偏高水平，已显著高于公认的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苏州市一般公共预算收入分别为2,456.81亿元、2,459.10亿元、2,490.23亿元，其中税收收入2,087.20亿元、2,004.19亿元、2,076.00亿元，税收占比维持在84.96%、81.50%、83.37%；一般公共预算支出2,621.28亿元、2,602.30亿元、2,545.83亿元，财政自给率93.73%、94.50%、97.82%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政府性基金收入方面，2023、2024、2025年分别为1,401.17亿元、1,048.08亿元、788.03亿元，政府性基金收入较2023年累计下降44%、土地财政贡献度弱化，反映地方综合财力对房地产周期的敞口。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图表：2023-2025年苏州市财政收入情况(单位:亿元、%)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2,456.81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2,459.10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2,004.19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2,076.00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-2.17%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1,401.17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1,048.08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-24.81%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资料来源:苏州市财政决算、企业预警通,风控信评部整理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苏州市经营性用地成交价分别为1,974.62亿元、1,497.18亿元、1,421.80亿元、781.46亿元、711.47亿元，2025年较2021年下降63.97%；同期平均溢价率为4.27%、1.85%、3.64%、1.35%、4.47%；成交楼面均价由3,469元/㎡降至2,184元/㎡、累计下降37.04%。2026年1-4月，苏州市经营性用地累计成交175宗、规划建面936.85万㎡、成交价97.95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图表:2021-2025年苏州市土地出让情况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5,691.50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3,469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1,974.62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4,327.37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3,460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1,497.18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3,683.14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3,860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1,421.80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3,557.07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781.46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3,257.31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711.47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936.85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97.95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苏州市商品住宅成交面积由1,098.20万㎡变动至302.00万㎡、累计下降72.5%；新房均价2025年为25,561元/㎡、较2023年高点(27,630元/㎡)累计下跌7.49%；2025年去化周期27.78个月。据中指冰山指数(最低挂牌价口径)，苏州二手房挂牌价较2019年11月高点累计下跌42.24%，2023年累计跌幅-8.08%、2024年累计跌幅-13.56%、2025年累计跌幅-16.40%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苏州市地方政府债务余额分别为2,046.12亿元、3,657.97亿元、4,445.63亿元，2025年末债务限额4,534.67亿元，债务余额控制在限额以内；城投有息债务2025年末估算余额16,146.57亿元。债务率指标看，2025年末政府债务率134.45%、城投债务率488.33%、宽口径债务率622.78%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苏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