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南昌作为江西省省会，经济总量在江西省稳居第一，人均GDP约12.00万元、人均经济实力居全省前列，经济增速由3.70%回升至4.70%、动能边际改善；固定资产投资连续负增长（最新-4.80%），经济动能仍有待修复。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南昌市2023、2024、2025年地区生产总值分别为7,437.85亿元、7,805.38亿元、8,141.69亿元，同比增长3.70%、4.90%、4.70%。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产业结构方面，2025年南昌市三次产业结构为3.2:41.5:55.3，以电子信息、汽车、航空、医药为支柱，聚集江铃汽车、洪都航空等企业。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2023、2024、2025年固定资产投资增速分别为-7.80%、5.40%、-4.80%，2025年社会消费品零售总额2,921.78亿元，进出口总额159.60亿美元。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昌市2025年GDP总量8,141.69亿元、列全省第一位，一般公共预算收入537.77亿元、列全省第一位。整体来看，南昌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南昌市财政体量在江西省稳居第一，税收占比60.50%、税收质量较好，但政府性基金收入较2023年累计下降41%、土地财政贡献度弱化；2025年末宽口径债务率428.94%、处于偏高水平，已显著高于公认的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昌市一般公共预算收入分别为500.20亿元、526.20亿元、537.77亿元，其中税收收入330.10亿元、334.50亿元、325.35亿元，税收占比维持在65.99%、63.57%、60.50%；一般公共预算支出925.60亿元、940.10亿元、914.44亿元，财政自给率54.04%、55.97%、58.81%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政府性基金收入方面，2023、2024、2025年分别为270.80亿元、133.80亿元、160.20亿元，政府性基金收入较2023年累计下降41%、土地财政贡献度弱化，反映地方综合财力对房地产周期的敞口。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914.44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-50.59%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南昌市经营性用地成交价分别为226.33亿元、265.45亿元、221.13亿元、75.77亿元、103.05亿元，2025年较2021年下降54.47%；同期平均溢价率为14.74%、4.67%、4.51%、4.45%、4.84%；成交楼面均价由2,059元/㎡降至1,379元/㎡、累计下降33.03%。2026年1-4月，南昌市经营性用地累计成交46宗、规划建面149.77万㎡、成交价7.86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图表:2021-2025年南昌市土地出让情况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1,098.73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226.33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1,455.26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265.45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1,351.17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221.13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653.30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746.27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103.05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南昌市商品住宅成交面积由358.10万㎡变动至187.72万㎡、累计下降47.6%；新房均价2025年为11,434元/㎡、较2021年高点(13,724元/㎡)累计下跌16.69%；2025年去化周期7.99个月。据中指冰山指数(最低挂牌价口径)，南昌二手房挂牌价较2019年6月高点累计下跌42.11%，2023年累计跌幅-8.88%、2024年累计跌幅-13.65%、2025年累计跌幅-18.29%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昌市地方政府债务余额分别为1,678.60亿元、1,929.98亿元、2,200.07亿元，2025年末债务限额2,310.52亿元，债务余额控制在限额以内；城投有息债务2025年末估算余额3,701.77亿元。债务率指标看，2025年末政府债务率159.90%、城投债务率269.04%、宽口径债务率428.94%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昌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