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宜春市信用评级报告(区域部分)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宜春作为江西省下辖地级市，经济总量列江西省第五位，人均GDP约8.09万元、人均经济实力居全省中游，经济增速由3.80%回升至5.60%、动能边际改善；固定资产投资最新增速4.10%，经济运行总体平稳。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宜春市2023、2024、2025年地区生产总值分别为3,517.78亿元、3,713.67亿元、3,930.24亿元，同比增长3.80%、6.10%、5.60%。截至2025年末，全市常住人口482.10万人，人均GDP约8.09万元。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产业结构方面，2025年宜春市三次产业结构为9.8:39:51.2，第三产业占主导、服务业是经济主体。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2023、2024、2025年固定资产投资增速分别为-6.70%、5.60%、4.10%，2025年社会消费品零售总额987.10亿元，进出口总额29.98亿美元。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宜春市2025年GDP总量3,930.24亿元、列全省第五位，一般公共预算收入276.34亿元、列全省第五位。整体来看，宜春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宜春市财政体量在江西省处于中游，税收占比58.28%、税收占比处于一般水平，但政府性基金收入较2023年累计下降35%、土地财政贡献度弱化；2025年末宽口径债务率733.36%、处于偏高水平，已显著高于公认的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宜春市一般公共预算收入分别为290.02亿元、284.11亿元、276.34亿元，其中税收收入192.83亿元、162.17亿元、161.06亿元，税收占比维持在66.49%、57.08%、58.28%；一般公共预算支出719.08亿元、724.41亿元、706.85亿元，财政自给率40.33%、39.22%、39.09%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政府性基金收入方面，2023、2024、2025年分别为187.35亿元、162.02亿元、121.58亿元，政府性基金收入较2023年累计下降35%、土地财政贡献度弱化，反映地方综合财力对房地产周期的敞口。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图表：2023-2025年宜春市财政收入情况(单位:亿元、%)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290.02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284.11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706.85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-24.96%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资料来源:宜春市财政决算、企业预警通,风控信评部整理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土地市场方面，【待补充:宜春市土地出让与房地产销售数据（土地市场数据库未覆盖该市）】。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宜春市地方政府债务余额分别为1,083.38亿元、1,327.65亿元、1,566.97亿元，2025年末债务限额1,660.16亿元，债务余额控制在限额以内；城投有息债务2025年末估算余额1,690.19亿元。债务率指标看，2025年末政府债务率352.81%、城投债务率380.55%、宽口径债务率733.36%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宜春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