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景德镇市信用评级报告(区域部分)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景德镇作为江西省下辖地级市，经济总量列江西省第11位，人均GDP约7.35万元、人均经济实力居全省中游，经济增速由3.00%回落至-0.70%、有所放缓；固定资产投资连续负增长（最新-9.30%），经济动能仍有待修复。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景德镇市2023、2024、2025年地区生产总值分别为1,140.69亿元、1,179.30亿元、1,189.63亿元，同比增长3.00%、4.10%、-0.70%。截至2025年末，全市常住人口161.76万人，人均GDP约7.35万元。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产业结构方面，2025年景德镇市三次产业结构为6.5:38.4:55.1，第三产业占主导、服务业是经济主体。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2023、2024、2025年固定资产投资增速分别为-8.00%、4.20%、-9.30%，2025年社会消费品零售总额468.61亿元，进出口总额8.87亿美元。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图表：2025年江西省各地级市主要经济指标对比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8,141.69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3.2:41.5:55.3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537.77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赣州市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5,221.29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9.6:36.4:54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895.62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九江市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4,246.50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6.7:38.3:55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322.00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上饶市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3,935.90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9.2:38.5:52.3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627.10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3,930.24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9.8:39:51.2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276.34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吉安市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3,105.70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8.9:42:49.1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218.34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427.14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抚州市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2,298.11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11.5:39.1:49.4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354.57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鹰潭市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1,459.41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5.4:51.1:43.5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114.50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萍乡市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1,276.04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6.3:37.7:56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231.27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178.63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新余市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1,215.58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6.7:35.6:57.7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118.96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景德镇市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1,189.63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6.5:38.4:55.1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161.76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景德镇市2025年GDP总量1,189.63亿元、列全省第11位，一般公共预算收入90.94亿元、列全省第十位。整体来看，景德镇市经济基本面在江西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景德镇市财政体量在江西省处于中游，税收占比59.39%、税收占比处于一般水平，但政府性基金收入较2023年累计下降19%、土地财政贡献度弱化；2025年末宽口径债务率887.27%、处于偏高水平，已显著高于公认的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景德镇市一般公共预算收入分别为90.30亿元、90.53亿元、90.94亿元，其中税收收入54.38亿元、53.51亿元、54.01亿元，税收占比维持在60.22%、59.11%、59.39%；一般公共预算支出239.95亿元、250.00亿元、234.95亿元，财政自给率37.63%、36.21%、38.70%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政府性基金收入方面，2023、2024、2025年分别为213.41亿元、209.50亿元、172.69亿元，政府性基金收入较2023年累计下降19%、土地财政贡献度弱化，反映地方综合财力对房地产周期的敞口。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图表：2023-2025年景德镇市财政收入情况(单位:亿元、%)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0.45%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59.39%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239.95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234.95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-6.02%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37.63%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213.41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209.50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172.69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-17.57%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资料来源:景德镇市财政决算、企业预警通,风控信评部整理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土地市场方面，【待补充:景德镇市土地出让与房地产销售数据（土地市场数据库未覆盖该市）】。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景德镇市地方政府债务余额分别为613.71亿元、710.12亿元、858.82亿元，2025年末债务限额896.89亿元，债务余额控制在限额以内；城投有息债务2025年末估算余额1,587.63亿元。债务率指标看，2025年末政府债务率311.48%、城投债务率575.80%、宽口径债务率887.27%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景德镇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