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鹰潭市信用评级报告(区域部分)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鹰潭作为江西省下辖地级市，经济总量列江西省第八位，人均GDP约12.74万元、人均经济实力居全省前列，经济增速由7.10%回落至6.20%、有所放缓；固定资产投资最新增速4.40%，经济运行总体平稳。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鹰潭市2023、2024、2025年地区生产总值分别为1,301.88亿元、1,385.44亿元、1,459.41亿元，同比增长7.10%、7.30%、6.20%。截至2025年末，全市常住人口114.50万人，人均GDP约12.74万元。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产业结构方面，2025年鹰潭市三次产业结构为5.4:51.1:43.5，第二产业占比较高、工业是经济支柱。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2023、2024、2025年固定资产投资增速分别为5.10%、5.70%、4.40%，2025年社会消费品零售总额367.07亿元，进出口总额74.65亿美元。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8,141.69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3.2:41.5:55.3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赣州市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5,221.29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9.6:36.4:54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895.62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九江市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6.7:38.3:55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上饶市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9.2:38.5:52.3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9.8:39:51.2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2,298.11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11.5:39.1:49.4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354.57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鹰潭市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5.4:51.1:43.5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萍乡市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6.3:37.7:56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6.7:35.6:57.7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景德镇市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6.5:38.4:55.1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161.76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鹰潭市2025年GDP总量1,459.41亿元、列全省第八位，一般公共预算收入118.33亿元、列全省第九位。整体来看，鹰潭市经济基本面在江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鹰潭市财政体量在江西省处于中游，税收占比77.68%、税收质量较好，但政府性基金收入总体平稳；2025年末宽口径债务率701.04%、处于偏高水平，已显著高于公认的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鹰潭市一般公共预算收入分别为108.56亿元、113.83亿元、118.33亿元，其中税收收入80.27亿元、84.61亿元、91.93亿元，税收占比维持在73.94%、74.33%、77.68%；一般公共预算支出249.81亿元、242.04亿元、235.24亿元，财政自给率43.46%、47.03%、50.30%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政府性基金收入方面，2023、2024、2025年分别为66.89亿元、61.91亿元、66.93亿元，政府性基金收入总体平稳，反映地方综合财力对房地产周期的敞口。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图表：2023-2025年鹰潭市财政收入情况(单位:亿元、%)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242.04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-2.81%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资料来源:鹰潭市财政决算、企业预警通,风控信评部整理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土地市场方面，【待补充:鹰潭市土地出让与房地产销售数据（土地市场数据库未覆盖该市）】。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鹰潭市地方政府债务余额分别为456.88亿元、529.85亿元、597.80亿元，2025年末债务限额618.84亿元，债务余额控制在限额以内；城投有息债务2025年末估算余额874.05亿元。债务率指标看，2025年末政府债务率284.73%、城投债务率416.31%、宽口径债务率701.04%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鹰潭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