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唐山市信用评级报告(区域部分)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唐山作为河北省下辖地级市，经济总量在河北省稳居第一，人均经济实力居省内中游，经济增速维持在6.20%左右、总体平稳；固定资产投资最新增速7.20%，经济运行总体平稳。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唐山市2023、2024、2025年地区生产总值分别为9,546.00亿元、10,003.90亿元、10,450.20亿元，同比增长6.10%、5.60%、6.20%。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产业结构方面，2025年唐山市三次产业结构为6.4:49.1:44.5，以钢铁、能源、装备制造、陶瓷为支柱，是全国重要的钢铁工业基地。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2023、2024、2025年固定资产投资增速分别为4.00%、-13.50%、7.20%，2025年社会消费品零售总额2,420.90亿元，进出口总额191.44亿美元。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唐山市2025年GDP总量10,450.20亿元、列全省第一位，一般公共预算收入588.20亿元、列全省第二位。整体来看，唐山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唐山市财政体量在河北省位居前列，税收占比51.73%、税收占比处于一般水平，但政府性基金收入总体平稳；2025年末宽口径债务率574.89%、处于偏高水平，已显著高于公认的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唐山市一般公共预算收入分别为581.43亿元、577.99亿元、588.20亿元，其中税收收入303.64亿元、292.49亿元、304.30亿元，税收占比维持在52.22%、50.60%、51.73%；一般公共预算支出1,001.53亿元、1,029.71亿元、1,082.75亿元，财政自给率58.05%、56.13%、54.32%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政府性基金收入方面，2023、2024、2025年分别为311.21亿元、309.84亿元、299.63亿元，政府性基金收入总体平稳，反映地方综合财力对房地产周期的敞口。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图表：2023-2025年唐山市财政收入情况(单位:亿元、%)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581.43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577.99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1,029.71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1,082.75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-3.30%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资料来源:唐山市财政决算、企业预警通,风控信评部整理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唐山市经营性用地成交价分别为219.82亿元、163.33亿元、235.37亿元、253.72亿元、197.92亿元，2025年较2021年下降9.96%；同期平均溢价率为4.77%、2.41%、2.70%、1.38%、0.81%；成交楼面均价由826元/㎡降至815元/㎡、累计下降1.33%。2026年1-4月，唐山市经营性用地累计成交54宗、规划建面160.51万㎡、成交价12.67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图表:2021-2025年唐山市土地出让情况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2,645.77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219.82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2,429.00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163.33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2,866.25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235.37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3,657.05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253.72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2,051.75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197.92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160.51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从房地产销售看，2021-2025年唐山市商品住宅成交面积由564.16万㎡变动至268.55万㎡、累计下降52.4%；新房均价2025年为8,456元/㎡、较2023年高点(9,574元/㎡)累计下跌11.68%；2025年去化周期52.44个月。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唐山市地方政府债务余额分别为2,607.48亿元、2,832.01亿元、3,127.72亿元，2025年末债务限额3,212.86亿元，债务余额控制在限额以内；城投有息债务2025年末估算余额1,992.11亿元。债务率指标看，2025年末政府债务率351.20%、城投债务率223.69%、宽口径债务率574.89%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唐山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