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张家口市信用评级报告(区域部分)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张家口作为河北省下辖地级市，经济总量列河北省第11位，人均经济实力居省内中游，经济增速维持在5.10%左右、总体平稳；固定资产投资最新增速15.30%，经济运行总体平稳。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张家口市2023、2024、2025年地区生产总值分别为1,859.20亿元、1,913.30亿元、1,970.70亿元，同比增长5.10%、4.60%、5.10%。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产业结构方面，张家口作为河北省下辖地级市，区域产业结构以本地优势产业为主。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2023、2024、2025年固定资产投资增速分别为4.00%、17.20%、15.30%。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张家口市2025年GDP总量1,970.70亿元、列全省第11位，一般公共预算收入193.38亿元、列全省第八位。整体来看，张家口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张家口市财政体量在河北省处于中游，税收占比53.02%、税收占比处于一般水平，但政府性基金收入较2023年累计增长11%；2025年末宽口径债务率670.08%、处于偏高水平，已显著高于公认的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张家口市一般公共预算收入分别为180.37亿元、188.86亿元、193.38亿元，其中税收收入83.56亿元、94.55亿元、102.52亿元，税收占比维持在46.33%、50.06%、53.02%；一般公共预算支出694.00亿元、665.56亿元、711.50亿元，财政自给率25.99%、28.38%、27.18%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政府性基金收入方面，2023、2024、2025年分别为131.95亿元、127.42亿元、146.23亿元，政府性基金收入较2023年累计增长11%，反映地方综合财力对房地产周期的敞口。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图表：2023-2025年张家口市财政收入情况(单位:亿元、%)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8.43%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694.00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14.76%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资料来源:张家口市财政决算、企业预警通,风控信评部整理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土地市场方面，【待补充:张家口市土地出让与房地产销售数据（土地市场数据库未覆盖该市）】。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张家口市地方政府债务余额分别为1,333.88亿元、1,547.17亿元、1,895.29亿元，2025年末债务限额1,922.08亿元，债务余额控制在限额以内；城投有息债务2025年末估算余额382.06亿元。债务率指标看，2025年末政府债务率557.67%、城投债务率112.42%、宽口径债务率670.08%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张家口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