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石家庄市信用评级报告(区域部分)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石家庄作为河北省省会，经济总量列河北省第二位，人均经济实力居省内中游，经济增速维持在6.00%左右、总体平稳；固定资产投资最新增速12.40%，经济运行总体平稳。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石家庄市2023、2024、2025年地区生产总值分别为7,846.20亿元、8,203.40亿元、8,651.70亿元，同比增长6.30%、5.50%、6.00%。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产业结构方面，石家庄作为河北省省会，以生物医药、装备制造、纺织食品为支柱，聚集石药、华药等医药企业。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2023、2024、2025年固定资产投资增速分别为7.60%、9.30%、12.40%，2025年社会消费品零售总额2,787.50亿元，进出口总额193.38亿美元。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石家庄市2025年GDP总量8,651.70亿元、列全省第二位，一般公共预算收入727.50亿元、列全省第一位。整体来看，石家庄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石家庄市财政体量在河北省稳居第一，税收占比56.09%、税收占比处于一般水平，但政府性基金收入较2023年累计下降20%、土地财政贡献度弱化；2025年末宽口径债务率530.86%、处于偏高水平，已显著高于公认的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石家庄市一般公共预算收入分别为737.89亿元、746.10亿元、727.50亿元，其中税收收入432.73亿元、397.12亿元、408.09亿元，税收占比维持在58.64%、53.23%、56.09%；一般公共预算支出1,274.83亿元、1,200.04亿元、1,248.40亿元，财政自给率57.88%、62.17%、58.27%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政府性基金收入方面，2023、2024、2025年分别为465.08亿元、379.20亿元、372.65亿元，政府性基金收入较2023年累计下降20%、土地财政贡献度弱化，反映地方综合财力对房地产周期的敞口。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图表：2023-2025年石家庄市财政收入情况(单位:亿元、%)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737.89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1,274.83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1,248.40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资料来源:石家庄市财政决算、企业预警通,风控信评部整理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石家庄市经营性用地成交价分别为355.15亿元、286.56亿元、475.71亿元、358.90亿元、441.04亿元，2025年较2021年变动24.18%；同期平均溢价率为3.36%、2.10%、1.10%、2.58%、0.58%；成交楼面均价为1,694元/㎡。2026年1-4月，石家庄市经营性用地累计成交124宗、规划建面463.63万㎡、成交价66.89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图表:2021-2025年石家庄市土地出让情况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2,725.41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355.15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2,913.70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286.56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3,845.30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475.71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2,866.99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358.90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2,585.36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441.04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463.63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石家庄市商品住宅成交面积由419.16万㎡变动至289.80万㎡、累计下降30.9%；新房均价2025年为15,154元/㎡、较2024年高点(15,599元/㎡)累计下跌2.85%；2025年去化周期17.25个月。据中指冰山指数(最低挂牌价口径)，石家庄二手房挂牌价较2018年4月高点累计下跌46.02%，2023年累计跌幅-6.82%、2024年累计跌幅-7.42%、2025年累计跌幅-15.10%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石家庄市地方政府债务余额分别为2,307.86亿元、2,510.36亿元、2,798.22亿元，2025年末债务限额2,879.71亿元，债务余额控制在限额以内；城投有息债务2025年末估算余额3,042.07亿元。债务率指标看，2025年末政府债务率254.35%、城投债务率276.51%、宽口径债务率530.86%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石家庄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