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秦皇岛市信用评级报告(区域部分)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秦皇岛作为河北省下辖地级市，经济总量列河北省第八位，人均GDP约7.00万元、人均经济实力居全省前列，经济增速由5.55%回升至5.90%、动能边际改善；固定资产投资最新增速13.40%，经济运行总体平稳。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秦皇岛市2023、2024、2025年地区生产总值分别为2,069.01亿元、2,119.50亿元、2,200.40亿元，同比增长5.55%、5.50%、5.90%。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产业结构方面，秦皇岛作为河北省下辖地级市，区域产业结构以本地优势产业为主。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2023、2024、2025年固定资产投资增速分别为4.00%、8.90%、13.40%，2025年社会消费品零售总额695.68亿元，进出口总额61.77亿美元。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秦皇岛市2025年GDP总量2,200.40亿元、列全省第八位，一般公共预算收入174.70亿元、列全省第九位。整体来看，秦皇岛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秦皇岛市财政体量在河北省处于中游，税收占比—、税收占比处于一般水平，但政府性基金收入较2023年累计下降35%、土地财政贡献度弱化；2025年末宽口径债务率503.12%、处于偏高水平，已显著高于公认的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秦皇岛市一般公共预算收入分别为172.53亿元、174.17亿元、174.70亿元，其中税收收入89.52亿元、89.57亿元、—亿元，税收占比维持在51.89%、51.43%、—；一般公共预算支出378.08亿元、373.11亿元、398.90亿元，财政自给率45.63%、46.68%、43.80%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政府性基金收入方面，2023、2024、2025年分别为86.02亿元、47.78亿元、55.90亿元，政府性基金收入较2023年累计下降35%、土地财政贡献度弱化，反映地方综合财力对房地产周期的敞口。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图表：2023-2025年秦皇岛市财政收入情况(单位:亿元、%)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378.08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-44.45%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16.99%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资料来源:秦皇岛市财政决算、企业预警通,风控信评部整理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土地市场方面，【待补充:秦皇岛市土地出让与房地产销售数据（土地市场数据库未覆盖该市）】。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秦皇岛市地方政府债务余额分别为746.49亿元、884.72亿元、1,030.01亿元，2025年末债务限额1,063.88亿元，债务余额控制在限额以内；城投有息债务2025年末估算余额132.52亿元。债务率指标看，2025年末政府债务率445.77%、城投债务率57.35%、宽口径债务率503.12%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秦皇岛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