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衡水市信用评级报告(区域部分)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衡水作为河北省下辖地级市，经济总量列河北省第九位，人均经济实力居省内中游，经济增速维持在5.50%左右、总体平稳；固定资产投资最新增速10.00%，经济运行总体平稳。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衡水市2023、2024、2025年地区生产总值分别为1,915.10亿元、1,956.90亿元、2,011.80亿元，同比增长5.60%、5.40%、5.50%。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产业结构方面，2025年衡水市三次产业结构为12.8:32.7:54.5，第三产业占主导、服务业是经济主体。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2023、2024、2025年固定资产投资增速分别为6.40%、7.20%、10.00%，2025年社会消费品零售总额705.50亿元，进出口总额27.50亿美元。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10,450.20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6.4:49.1:44.5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588.20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石家庄市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8,651.70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5,002.50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10.7:33:56.3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邯郸市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4,920.10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386.37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廊坊市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4,040.50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邢台市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秦皇岛市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2,200.40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12.8:32.7:54.5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承德市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衡水市2025年GDP总量2,011.80亿元、列全省第九位，一般公共预算收入155.48亿元、列全省第十位。整体来看，衡水市经济基本面在河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衡水市财政体量在河北省处于中游，税收占比53.49%、税收占比处于一般水平，但政府性基金收入较2023年累计下降51%、土地财政贡献度弱化；2025年末宽口径债务率458.46%、处于偏高水平，已显著高于公认的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衡水市一般公共预算收入分别为151.77亿元、152.69亿元、155.48亿元，其中税收收入81.08亿元、81.49亿元、83.17亿元，税收占比维持在53.42%、53.37%、53.49%；一般公共预算支出440.34亿元、451.68亿元、442.92亿元，财政自给率34.47%、33.81%、35.10%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政府性基金收入方面，2023、2024、2025年分别为62.64亿元、38.60亿元、30.39亿元，政府性基金收入较2023年累计下降51%、土地财政贡献度弱化，反映地方综合财力对房地产周期的敞口。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图表：2023-2025年衡水市财政收入情况(单位:亿元、%)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451.68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442.92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-1.94%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-38.38%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-21.27%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资料来源:衡水市财政决算、企业预警通,风控信评部整理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土地市场方面，【待补充:衡水市土地出让与房地产销售数据（土地市场数据库未覆盖该市）】。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衡水市地方政府债务余额分别为651.79亿元、722.35亿元、836.63亿元，2025年末债务限额849.71亿元，债务余额控制在限额以内；城投有息债务2025年末估算余额17.90亿元。债务率指标看，2025年末政府债务率448.86%、城投债务率9.60%、宽口径债务率458.46%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衡水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