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8"/>
        </w:rPr>
        <w:t>邢台市信用评级报告(区域部分)</w:t>
      </w:r>
    </w:p>
    <w:p>
      <w:pPr>
        <w:spacing w:before="200" w:after="10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一、区域经济分析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邢台作为河北省下辖地级市，经济总量列河北省第七位，人均经济实力居省内中游，经济增速由4.30%回升至5.00%、动能边际改善；固定资产投资最新增速7.40%，经济运行总体平稳。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邢台市2023、2024、2025年地区生产总值分别为2,696.10亿元、2,765.90亿元、2,800.00亿元，同比增长4.30%、4.50%、5.00%。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产业结构方面，邢台作为河北省下辖地级市，区域产业结构以本地优势产业为主。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2023、2024、2025年固定资产投资增速分别为3.00%、9.80%、7.40%，进出口总额31.44亿美元。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图表：2025年河北省各地级市主要经济指标对比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地级市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人均GDP(万元)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三次产业结构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一般预算(亿元)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常住人口(万人)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唐山市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10,450.20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6.20%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6.4:49.1:44.5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588.20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石家庄市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8,651.70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727.50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保定市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5,002.50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10.7:33:56.3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327.06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沧州市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4,930.90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5.90%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353.17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邯郸市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4,920.10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386.37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廊坊市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4,040.50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5.80%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311.80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邢台市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2,800.00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220.90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秦皇岛市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2,200.40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5.90%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174.70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衡水市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2,011.80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12.8:32.7:54.5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155.48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承德市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2,001.70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5.80%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144.82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张家口市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1,970.70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193.38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资料来源：各市统计公报、企业预警通，风控信评部整理。注：部分城市人均GDP系按当年GDP与常住人口估算。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省内对比看，邢台市2025年GDP总量2,800.00亿元、列全省第七位，一般公共预算收入220.90亿元、列全省第七位。整体来看，邢台市经济基本面在河北省内具有一定代表性，但需关注固定资产投资走势及新旧动能转换的接续性。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邢台市财政体量在河北省处于中游，税收占比56.50%、税收占比处于一般水平，但政府性基金收入较2023年累计下降18%、土地财政贡献度弱化；2025年末宽口径债务率578.33%、处于偏高水平，已显著高于公认的 300% 偏高临界线，后续偿债压力值得关注。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财政收入方面，2023、2024、2025年邢台市一般公共预算收入分别为214.42亿元、216.96亿元、220.90亿元，其中税收收入119.93亿元、118.76亿元、124.80亿元，税收占比维持在55.93%、54.74%、56.50%；一般公共预算支出641.74亿元、685.93亿元、701.90亿元，财政自给率33.41%、31.63%、31.47%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政府性基金收入方面，2023、2024、2025年分别为145.75亿元、101.44亿元、120.20亿元，政府性基金收入较2023年累计下降18%、土地财政贡献度弱化，反映地方综合财力对房地产周期的敞口。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图表：2023-2025年邢台市财政收入情况(单位:亿元、%)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项目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2023年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2024年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2025年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214.42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216.96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1.18%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220.90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1.82%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　其中:税收收入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119.93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118.76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-0.98%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124.80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5.09%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税收占比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55.93%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54.74%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56.50%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一般公共预算支出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641.74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685.93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6.89%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701.90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2.33%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财政自给率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33.41%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31.63%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31.47%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政府性基金收入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145.75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101.44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-30.40%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120.20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18.49%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资料来源:邢台市财政决算、企业预警通,风控信评部整理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土地市场方面，【待补充:邢台市土地出让与房地产销售数据（土地市场数据库未覆盖该市）】。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债务方面，2023、2024、2025年末邢台市地方政府债务余额分别为1,103.63亿元、1,226.60亿元、1,409.08亿元，2025年末债务限额1,432.91亿元，债务余额控制在限额以内；城投有息债务2025年末估算余额595.40亿元。债务率指标看，2025年末政府债务率406.54%、城投债务率171.78%、宽口径债务率578.33%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综合来看，邢台市财政基本盘总体稳健，但土地财政收缩与债务规模扩张是当前主要压力线；我们预计宽口径债务率短期内将维持偏高水平，需重点关注后续化债进展、土地市场企稳情况以及融资平台合规整改对城投再融资能力的影响。</w:t>
      </w:r>
    </w:p>
    <w:sectPr w:rsidR="00FC693F" w:rsidRPr="0006063C" w:rsidSect="00034616">
      <w:pgSz w:w="12240" w:h="15840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楷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