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邯郸市信用评级报告(区域部分)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邯郸作为河北省下辖地级市，经济总量列河北省第五位，人均经济实力居省内中游，经济增速由5.80%回升至6.40%、动能边际改善；固定资产投资最新增速14.10%，经济运行总体平稳。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邯郸市2023、2024、2025年地区生产总值分别为4,520.60亿元、4,703.80亿元、4,920.10亿元，同比增长5.80%、6.10%、6.40%。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产业结构方面，邯郸作为河北省下辖地级市，区域产业结构以本地优势产业为主。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2023、2024、2025年固定资产投资增速分别为6.60%、8.30%、14.10%，2025年社会消费品零售总额1,475.20亿元，进出口总额40.80亿美元。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10,450.20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6.4:49.1:44.5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588.20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石家庄市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8,651.70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保定市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5,002.50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10.7:33:56.3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4,930.90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邯郸市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4,920.10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廊坊市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4,040.50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邢台市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秦皇岛市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2,200.40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174.70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衡水市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2,011.80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12.8:32.7:54.5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承德市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张家口市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邯郸市2025年GDP总量4,920.10亿元、列全省第五位，一般公共预算收入386.37亿元、列全省第三位。整体来看，邯郸市经济基本面在河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邯郸市财政体量在河北省位居前列，税收占比59.84%、税收占比处于一般水平，但政府性基金收入较2023年累计下降20%、土地财政贡献度弱化；2025年末宽口径债务率428.27%、处于偏高水平，已显著高于公认的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邯郸市一般公共预算收入分别为376.03亿元、379.54亿元、386.37亿元，其中税收收入226.13亿元、226.38亿元、231.21亿元，税收占比维持在60.14%、59.65%、59.84%；一般公共预算支出871.65亿元、942.22亿元、935.15亿元，财政自给率43.14%、40.28%、41.32%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政府性基金收入方面，2023、2024、2025年分别为205.50亿元、105.82亿元、163.44亿元，政府性基金收入较2023年累计下降20%、土地财政贡献度弱化，反映地方综合财力对房地产周期的敞口。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图表：2023-2025年邯郸市财政收入情况(单位:亿元、%)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379.54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386.37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231.21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871.65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942.22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-48.51%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163.44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54.45%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资料来源:邯郸市财政决算、企业预警通,风控信评部整理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土地市场方面，【待补充:邯郸市土地出让与房地产销售数据（土地市场数据库未覆盖该市）】。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邯郸市地方政府债务余额分别为1,381.14亿元、1,531.64亿元、1,756.50亿元，2025年末债务限额1,807.92亿元，债务余额控制在限额以内；城投有息债务2025年末估算余额746.66亿元。债务率指标看，2025年末政府债务率300.52%、城投债务率127.75%、宽口径债务率428.27%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邯郸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