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三门峡市信用评级报告(区域部分)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三门峡作为河南省下辖地级市，经济总量列河南省第16位，人均GDP约8.51万元、人均经济实力居全省前列，经济增速由1.84%回升至6.10%、动能边际改善；固定资产投资最新增速5.40%，经济运行总体平稳。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三门峡市2023、2024、2025年地区生产总值分别为1,550.53亿元、1,627.24亿元、1,702.61亿元，同比增长1.84%、5.10%、6.10%。截至2025年末，全市常住人口199.50万人，人均GDP约8.51万元。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产业结构方面，三门峡作为河南省下辖地级市，区域产业结构以本地优势产业为主。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2023、2024、2025年固定资产投资增速分别为-23.30%、6.70%、5.40%，2025年社会消费品零售总额556.47亿元，进出口总额26.47亿美元。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三门峡市2025年GDP总量1,702.61亿元、列全省第16位，一般公共预算收入149.51亿元、列全省第11位。整体来看，三门峡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三门峡市财政体量在河南省处于中游，税收占比59.82%、税收占比处于一般水平，但政府性基金收入较2023年累计下降11%、土地财政贡献度弱化；2025年末宽口径债务率549.13%、处于偏高水平，已显著高于公认的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三门峡市一般公共预算收入分别为140.69亿元、143.54亿元、149.51亿元，其中税收收入90.82亿元、88.32亿元、89.44亿元，税收占比维持在64.55%、61.53%、59.82%；一般公共预算支出283.02亿元、286.29亿元、286.72亿元，财政自给率49.71%、50.14%、52.14%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政府性基金收入方面，2023、2024、2025年分别为37.25亿元、35.02亿元、33.26亿元，政府性基金收入较2023年累计下降11%、土地财政贡献度弱化，反映地方综合财力对房地产周期的敞口。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图表：2023-2025年三门峡市财政收入情况(单位:亿元、%)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286.72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-5.03%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资料来源:三门峡市财政决算、企业预警通,风控信评部整理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土地市场方面，【待补充:三门峡市土地出让与房地产销售数据（土地市场数据库未覆盖该市）】。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三门峡市地方政府债务余额分别为368.40亿元、468.53亿元、564.72亿元，2025年末债务限额570.80亿元，债务余额控制在限额以内；城投有息债务2025年末估算余额463.48亿元。债务率指标看，2025年末政府债务率301.60%、城投债务率247.53%、宽口径债务率549.13%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三门峡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